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产品名称：水性亚克力表处剂W33908</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型号：水性亚克力表处剂W33908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判定，本产品为水性涂料，不易燃，未被列为危险物质，不属于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危险性说明：本品为水性体系，不易燃。避免接触眼睛；如不慎接触，用水冲洗。</w:t>
      </w:r>
    </w:p>
    <w:p>
      <w:pPr>
        <w:spacing w:before="0" w:after="0" w:line="320" w:lineRule="exact"/>
      </w:pPr>
      <w:r>
        <w:rPr>
          <w:rFonts w:hint="eastAsia" w:ascii="Arial" w:hAnsi="Arial" w:eastAsia="微软雅黑" w:cs="Arial"/>
          <w:color w:val="1A1A1A"/>
          <w:sz w:val="21"/>
          <w:szCs w:val="21"/>
          <w:lang w:val="en-US" w:eastAsia="zh-CN"/>
        </w:rPr>
        <w:t xml:space="preserve">预防措施：远离儿童；使用后密封保存；避免冻存。</w:t>
      </w:r>
    </w:p>
    <w:p>
      <w:pPr>
        <w:spacing w:before="0" w:after="0" w:line="320" w:lineRule="exact"/>
      </w:pPr>
      <w:r>
        <w:rPr>
          <w:rFonts w:hint="eastAsia" w:ascii="Arial" w:hAnsi="Arial" w:eastAsia="微软雅黑" w:cs="Arial"/>
          <w:color w:val="1A1A1A"/>
          <w:sz w:val="21"/>
          <w:szCs w:val="21"/>
          <w:lang w:val="en-US" w:eastAsia="zh-CN"/>
        </w:rPr>
        <w:t xml:space="preserve">事故响应：若进入眼睛，用水小心冲洗几分钟，如有不适立即就医。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其它危害：PBT(残留性、生物浓缩性、毒性物质) 及 vPvB(高残留性、高生物浓缩性物质) 评价结果</w:t>
      </w:r>
    </w:p>
    <w:p>
      <w:pPr>
        <w:spacing w:before="0" w:after="0" w:line="320" w:lineRule="exact"/>
      </w:pPr>
      <w:r>
        <w:rPr>
          <w:rFonts w:hint="eastAsia" w:ascii="Arial" w:hAnsi="Arial" w:eastAsia="微软雅黑" w:cs="Arial"/>
          <w:color w:val="1A1A1A"/>
          <w:sz w:val="21"/>
          <w:szCs w:val="21"/>
          <w:lang w:val="en-US" w:eastAsia="zh-CN"/>
        </w:rPr>
        <w:t xml:space="preserve">PBT：不适用　　vPvB：不适用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水</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60-80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7732-18-5</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丙烯酸树脂（水性分散体）</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20-35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助剂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（水性产品无挥发性溶剂，但仍应避免污染水源。）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储存：储存在阴凉、干燥、通风的仓库内，防冻（0°C 以上）；容器密封。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不适用</w:t>
            </w:r>
          </w:p>
        </w:tc>
        <w:tc>
          <w:tcPr>
            <w:tcW w:w="1800" w:type="dxa"/>
            <w:vAlign w:val="center"/>
          </w:tcPr>
          <w:p>
            <w:pPr>
              <w:spacing w:before="0" w:after="0" w:line="300" w:lineRule="atLeast"/>
            </w:pPr>
          </w:p>
        </w:tc>
        <w:tc>
          <w:tcPr>
            <w:tcW w:w="1300" w:type="dxa"/>
            <w:vAlign w:val="center"/>
          </w:tcPr>
          <w:p>
            <w:pPr>
              <w:spacing w:before="0" w:after="0" w:line="300" w:lineRule="atLeast"/>
            </w:pPr>
          </w:p>
        </w:tc>
        <w:tc>
          <w:tcPr>
            <w:tcW w:w="2400" w:type="dxa"/>
            <w:vAlign w:val="center"/>
          </w:tcPr>
          <w:p>
            <w:pPr>
              <w:spacing w:before="0" w:after="0" w:line="300" w:lineRule="atLeast"/>
            </w:pP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一般无需特殊呼吸防护，保持通风即可。</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乳白色</w:t>
      </w:r>
    </w:p>
    <w:p>
      <w:pPr>
        <w:spacing w:before="0" w:after="0" w:line="320" w:lineRule="exact"/>
      </w:pPr>
      <w:r>
        <w:rPr>
          <w:rFonts w:hint="eastAsia" w:ascii="Arial" w:hAnsi="Arial" w:eastAsia="微软雅黑" w:cs="Arial"/>
          <w:color w:val="1A1A1A"/>
          <w:sz w:val="21"/>
          <w:szCs w:val="21"/>
          <w:lang w:val="en-US" w:eastAsia="zh-CN"/>
        </w:rPr>
        <w:t xml:space="preserve">气味：　轻微气味</w:t>
      </w:r>
    </w:p>
    <w:p>
      <w:pPr>
        <w:spacing w:before="0" w:after="0" w:line="320" w:lineRule="exact"/>
      </w:pPr>
      <w:r>
        <w:rPr>
          <w:rFonts w:hint="eastAsia" w:ascii="Arial" w:hAnsi="Arial" w:eastAsia="微软雅黑" w:cs="Arial"/>
          <w:color w:val="1A1A1A"/>
          <w:sz w:val="21"/>
          <w:szCs w:val="21"/>
          <w:lang w:val="en-US" w:eastAsia="zh-CN"/>
        </w:rPr>
        <w:t xml:space="preserve">熔点：　0℃</w:t>
      </w:r>
    </w:p>
    <w:p>
      <w:pPr>
        <w:spacing w:before="0" w:after="0" w:line="320" w:lineRule="exact"/>
      </w:pPr>
      <w:r>
        <w:rPr>
          <w:rFonts w:hint="eastAsia" w:ascii="Arial" w:hAnsi="Arial" w:eastAsia="微软雅黑" w:cs="Arial"/>
          <w:color w:val="1A1A1A"/>
          <w:sz w:val="21"/>
          <w:szCs w:val="21"/>
          <w:lang w:val="en-US" w:eastAsia="zh-CN"/>
        </w:rPr>
        <w:t xml:space="preserve">沸点：　100℃</w:t>
      </w:r>
    </w:p>
    <w:p>
      <w:pPr>
        <w:spacing w:before="0" w:after="0" w:line="320" w:lineRule="exact"/>
      </w:pPr>
      <w:r>
        <w:rPr>
          <w:rFonts w:hint="eastAsia" w:ascii="Arial" w:hAnsi="Arial" w:eastAsia="微软雅黑" w:cs="Arial"/>
          <w:color w:val="1A1A1A"/>
          <w:sz w:val="21"/>
          <w:szCs w:val="21"/>
          <w:lang w:val="en-US" w:eastAsia="zh-CN"/>
        </w:rPr>
        <w:t xml:space="preserve">闪点：　不适用（水性，不易燃）</w:t>
      </w:r>
    </w:p>
    <w:p>
      <w:pPr>
        <w:spacing w:before="0" w:after="0" w:line="320" w:lineRule="exact"/>
      </w:pPr>
      <w:r>
        <w:rPr>
          <w:rFonts w:hint="eastAsia" w:ascii="Arial" w:hAnsi="Arial" w:eastAsia="微软雅黑" w:cs="Arial"/>
          <w:color w:val="1A1A1A"/>
          <w:sz w:val="21"/>
          <w:szCs w:val="21"/>
          <w:lang w:val="en-US" w:eastAsia="zh-CN"/>
        </w:rPr>
        <w:t xml:space="preserve">点燃温度：　不适用</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w:t>
      </w:r>
    </w:p>
    <w:p>
      <w:pPr>
        <w:spacing w:before="0" w:after="0" w:line="320" w:lineRule="exact"/>
      </w:pPr>
      <w:r>
        <w:rPr>
          <w:rFonts w:hint="eastAsia" w:ascii="Arial" w:hAnsi="Arial" w:eastAsia="微软雅黑" w:cs="Arial"/>
          <w:color w:val="1A1A1A"/>
          <w:sz w:val="21"/>
          <w:szCs w:val="21"/>
          <w:lang w:val="en-US" w:eastAsia="zh-CN"/>
        </w:rPr>
        <w:t xml:space="preserve">爆炸上限：　不适用</w:t>
      </w:r>
    </w:p>
    <w:p>
      <w:pPr>
        <w:spacing w:before="0" w:after="0" w:line="320" w:lineRule="exact"/>
      </w:pPr>
      <w:r>
        <w:rPr>
          <w:rFonts w:hint="eastAsia" w:ascii="Arial" w:hAnsi="Arial" w:eastAsia="微软雅黑" w:cs="Arial"/>
          <w:color w:val="1A1A1A"/>
          <w:sz w:val="21"/>
          <w:szCs w:val="21"/>
          <w:lang w:val="en-US" w:eastAsia="zh-CN"/>
        </w:rPr>
        <w:t xml:space="preserve">爆炸下限：　不适用</w:t>
      </w:r>
    </w:p>
    <w:p>
      <w:pPr>
        <w:spacing w:before="0" w:after="0" w:line="320" w:lineRule="exact"/>
      </w:pPr>
      <w:r>
        <w:rPr>
          <w:rFonts w:hint="eastAsia" w:ascii="Arial" w:hAnsi="Arial" w:eastAsia="微软雅黑" w:cs="Arial"/>
          <w:color w:val="1A1A1A"/>
          <w:sz w:val="21"/>
          <w:szCs w:val="21"/>
          <w:lang w:val="en-US" w:eastAsia="zh-CN"/>
        </w:rPr>
        <w:t xml:space="preserve">蒸气压力 (20℃)：　不适用</w:t>
      </w:r>
    </w:p>
    <w:p>
      <w:pPr>
        <w:spacing w:before="0" w:after="0" w:line="320" w:lineRule="exact"/>
      </w:pPr>
      <w:r>
        <w:rPr>
          <w:rFonts w:hint="eastAsia" w:ascii="Arial" w:hAnsi="Arial" w:eastAsia="微软雅黑" w:cs="Arial"/>
          <w:color w:val="1A1A1A"/>
          <w:sz w:val="21"/>
          <w:szCs w:val="21"/>
          <w:lang w:val="en-US" w:eastAsia="zh-CN"/>
        </w:rPr>
        <w:t xml:space="preserve">密度：　约 1.0 g/cm³</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可与水混溶</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不适用</w:t>
      </w:r>
    </w:p>
    <w:p>
      <w:pPr>
        <w:spacing w:before="0" w:after="0" w:line="320" w:lineRule="exact"/>
      </w:pPr>
      <w:r>
        <w:rPr>
          <w:rFonts w:hint="eastAsia" w:ascii="Arial" w:hAnsi="Arial" w:eastAsia="微软雅黑" w:cs="Arial"/>
          <w:color w:val="1A1A1A"/>
          <w:sz w:val="21"/>
          <w:szCs w:val="21"/>
          <w:lang w:val="en-US" w:eastAsia="zh-CN"/>
        </w:rPr>
        <w:t xml:space="preserve">固体含量：　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有可能的有害反应：在极端条件下（冻结/高温）可能破乳分层</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急性毒性：未确定的。本品水性体系低毒。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本品为水性体系，对水环境危害较低；仍不允许本品大量进入地下水、污水系统等。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w:t>
      </w:r>
    </w:p>
    <w:p>
      <w:pPr>
        <w:spacing w:before="0" w:after="0" w:line="320" w:lineRule="exact"/>
      </w:pPr>
      <w:r>
        <w:rPr>
          <w:rFonts w:hint="eastAsia" w:ascii="Arial" w:hAnsi="Arial" w:eastAsia="微软雅黑" w:cs="Arial"/>
          <w:color w:val="1A1A1A"/>
          <w:sz w:val="21"/>
          <w:szCs w:val="21"/>
          <w:lang w:val="en-US" w:eastAsia="zh-CN"/>
        </w:rPr>
        <w:t xml:space="preserve">海运等级：不适用</w:t>
      </w:r>
    </w:p>
    <w:p>
      <w:pPr>
        <w:spacing w:before="0" w:after="0" w:line="320" w:lineRule="exact"/>
      </w:pPr>
      <w:r>
        <w:rPr>
          <w:rFonts w:hint="eastAsia" w:ascii="Arial" w:hAnsi="Arial" w:eastAsia="微软雅黑" w:cs="Arial"/>
          <w:color w:val="1A1A1A"/>
          <w:sz w:val="21"/>
          <w:szCs w:val="21"/>
          <w:lang w:val="en-US" w:eastAsia="zh-CN"/>
        </w:rPr>
        <w:t xml:space="preserve">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包装方法：200L 塑料桶，50L 塑料桶</w:t>
      </w:r>
    </w:p>
    <w:p>
      <w:pPr>
        <w:spacing w:before="0" w:after="0" w:line="320" w:lineRule="exact"/>
      </w:pPr>
      <w:r>
        <w:rPr>
          <w:rFonts w:hint="eastAsia" w:ascii="Arial" w:hAnsi="Arial" w:eastAsia="微软雅黑" w:cs="Arial"/>
          <w:color w:val="1A1A1A"/>
          <w:sz w:val="21"/>
          <w:szCs w:val="21"/>
          <w:lang w:val="en-US" w:eastAsia="zh-CN"/>
        </w:rPr>
        <w:t xml:space="preserve">运输注意事项：防冻、防曝晒、防雨淋。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