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产品名称：水性滑滑梯表处剂W33906</w:t>
      </w:r>
    </w:p>
    <w:p>
      <w:pPr>
        <w:spacing w:before="0" w:after="0" w:line="320" w:lineRule="exact"/>
      </w:pPr>
      <w:r>
        <w:rPr>
          <w:rFonts w:hint="eastAsia" w:ascii="Arial" w:hAnsi="Arial" w:eastAsia="微软雅黑" w:cs="Arial"/>
          <w:color w:val="1A1A1A"/>
          <w:sz w:val="19"/>
          <w:szCs w:val="19"/>
          <w:lang w:val="en-US" w:eastAsia="zh-CN"/>
        </w:rPr>
        <w:t xml:space="preserve">修订日期：2025年7月1日　　最初编制日期：2025年7月1日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MSDS 编号：RCN150801　　版本：2.0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化学品中文名称：表面处理剂，为一种涂料</w:t>
      </w:r>
    </w:p>
    <w:p>
      <w:pPr>
        <w:spacing w:before="0" w:after="0" w:line="320" w:lineRule="exact"/>
      </w:pPr>
      <w:r>
        <w:rPr>
          <w:rFonts w:hint="eastAsia" w:ascii="Arial" w:hAnsi="Arial" w:eastAsia="微软雅黑" w:cs="Arial"/>
          <w:color w:val="1A1A1A"/>
          <w:sz w:val="21"/>
          <w:szCs w:val="21"/>
          <w:lang w:val="en-US" w:eastAsia="zh-CN"/>
        </w:rPr>
        <w:t xml:space="preserve">型号：水性滑滑梯表处剂W33906</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 (上海) 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技术说明书版本：2025年7月1日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判定，本产品为水性涂料，不易燃，未被列为危险物质，不属于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危险性说明：本品为水性体系，不易燃。避免接触眼睛；如不慎接触，用水冲洗。</w:t>
      </w:r>
    </w:p>
    <w:p>
      <w:pPr>
        <w:spacing w:before="0" w:after="0" w:line="320" w:lineRule="exact"/>
      </w:pPr>
      <w:r>
        <w:rPr>
          <w:rFonts w:hint="eastAsia" w:ascii="Arial" w:hAnsi="Arial" w:eastAsia="微软雅黑" w:cs="Arial"/>
          <w:color w:val="1A1A1A"/>
          <w:sz w:val="21"/>
          <w:szCs w:val="21"/>
          <w:lang w:val="en-US" w:eastAsia="zh-CN"/>
        </w:rPr>
        <w:t xml:space="preserve">预防措施：远离儿童；使用后密封保存；避免冻存。</w:t>
      </w:r>
    </w:p>
    <w:p>
      <w:pPr>
        <w:spacing w:before="0" w:after="0" w:line="320" w:lineRule="exact"/>
      </w:pPr>
      <w:r>
        <w:rPr>
          <w:rFonts w:hint="eastAsia" w:ascii="Arial" w:hAnsi="Arial" w:eastAsia="微软雅黑" w:cs="Arial"/>
          <w:color w:val="1A1A1A"/>
          <w:sz w:val="21"/>
          <w:szCs w:val="21"/>
          <w:lang w:val="en-US" w:eastAsia="zh-CN"/>
        </w:rPr>
        <w:t xml:space="preserve">事故响应：若进入眼睛，用水小心冲洗几分钟，如有不适立即就医。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其它危害：PBT(残留性、生物浓缩性、毒性物质) 及 vPvB(高残留性、高生物浓缩性物质) 评价结果</w:t>
      </w:r>
    </w:p>
    <w:p>
      <w:pPr>
        <w:spacing w:before="0" w:after="0" w:line="320" w:lineRule="exact"/>
      </w:pPr>
      <w:r>
        <w:rPr>
          <w:rFonts w:hint="eastAsia" w:ascii="Arial" w:hAnsi="Arial" w:eastAsia="微软雅黑" w:cs="Arial"/>
          <w:color w:val="1A1A1A"/>
          <w:sz w:val="21"/>
          <w:szCs w:val="21"/>
          <w:lang w:val="en-US" w:eastAsia="zh-CN"/>
        </w:rPr>
        <w:t xml:space="preserve">PBT：不适用　　vPvB：不适用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p>
      <w:pPr>
        <w:spacing w:before="0" w:after="0" w:line="320" w:lineRule="exact"/>
      </w:pPr>
      <w:r>
        <w:rPr>
          <w:rFonts w:hint="eastAsia" w:ascii="Arial" w:hAnsi="Arial" w:eastAsia="微软雅黑" w:cs="Arial"/>
          <w:color w:val="1A1A1A"/>
          <w:sz w:val="21"/>
          <w:szCs w:val="21"/>
          <w:lang w:val="en-US" w:eastAsia="zh-CN"/>
        </w:rPr>
        <w:t xml:space="preserve">危险品含量组成如下：</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0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20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0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水</w:t>
            </w:r>
          </w:p>
        </w:tc>
        <w:tc>
          <w:tcPr>
            <w:tcW w:w="2000" w:type="dxa"/>
            <w:vAlign w:val="center"/>
          </w:tcPr>
          <w:p>
            <w:pPr>
              <w:spacing w:before="0" w:after="0" w:line="300" w:lineRule="atLeast"/>
            </w:pPr>
            <w:r>
              <w:rPr>
                <w:rFonts w:hint="eastAsia" w:ascii="Arial" w:hAnsi="Arial" w:eastAsia="Arial" w:cs="Arial"/>
                <w:sz w:val="20"/>
                <w:szCs w:val="20"/>
                <w:lang w:val="en-US" w:eastAsia="zh-CN"/>
              </w:rPr>
              <w:t xml:space="preserve">60-80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7732-18-5</w:t>
            </w:r>
          </w:p>
        </w:tc>
      </w:tr>
      <w:tr>
        <w:tc>
          <w:tcPr>
            <w:tcW w:w="40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丙烯酸树脂（水性分散体）</w:t>
            </w:r>
          </w:p>
        </w:tc>
        <w:tc>
          <w:tcPr>
            <w:tcW w:w="2000" w:type="dxa"/>
            <w:vAlign w:val="center"/>
          </w:tcPr>
          <w:p>
            <w:pPr>
              <w:spacing w:before="0" w:after="0" w:line="300" w:lineRule="atLeast"/>
            </w:pPr>
            <w:r>
              <w:rPr>
                <w:rFonts w:hint="eastAsia" w:ascii="Arial" w:hAnsi="Arial" w:eastAsia="Arial" w:cs="Arial"/>
                <w:sz w:val="20"/>
                <w:szCs w:val="20"/>
                <w:lang w:val="en-US" w:eastAsia="zh-CN"/>
              </w:rPr>
              <w:t xml:space="preserve">20-35</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r>
        <w:tc>
          <w:tcPr>
            <w:tcW w:w="40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助剂</w:t>
            </w:r>
          </w:p>
        </w:tc>
        <w:tc>
          <w:tcPr>
            <w:tcW w:w="2000" w:type="dxa"/>
            <w:vAlign w:val="center"/>
          </w:tcPr>
          <w:p>
            <w:pPr>
              <w:spacing w:before="0" w:after="0" w:line="300" w:lineRule="atLeast"/>
            </w:pPr>
            <w:r>
              <w:rPr>
                <w:rFonts w:hint="eastAsia" w:ascii="Arial" w:hAnsi="Arial" w:eastAsia="Arial" w:cs="Arial"/>
                <w:sz w:val="20"/>
                <w:szCs w:val="20"/>
                <w:lang w:val="en-US" w:eastAsia="zh-CN"/>
              </w:rPr>
              <w:t xml:space="preserve">1-5</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急救：</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吸入过量后：将吸入人员安置至空气流通处并保持安静。万一病人不清醒时，请保持病人平稳的侧躺以便转移。</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w:t>
      </w:r>
    </w:p>
    <w:p>
      <w:pPr>
        <w:spacing w:before="0" w:after="0" w:line="320" w:lineRule="exact"/>
      </w:pPr>
      <w:r>
        <w:rPr>
          <w:rFonts w:hint="eastAsia" w:ascii="Arial" w:hAnsi="Arial" w:eastAsia="微软雅黑" w:cs="Arial"/>
          <w:color w:val="1A1A1A"/>
          <w:sz w:val="21"/>
          <w:szCs w:val="21"/>
          <w:lang w:val="en-US" w:eastAsia="zh-CN"/>
        </w:rPr>
        <w:t xml:space="preserve">穿戴保护装备，让未受到保护的人员离开</w:t>
      </w:r>
    </w:p>
    <w:p>
      <w:pPr>
        <w:spacing w:before="0" w:after="0" w:line="320" w:lineRule="exact"/>
      </w:pPr>
      <w:r>
        <w:rPr>
          <w:rFonts w:hint="eastAsia" w:ascii="Arial" w:hAnsi="Arial" w:eastAsia="微软雅黑" w:cs="Arial"/>
          <w:color w:val="1A1A1A"/>
          <w:sz w:val="21"/>
          <w:szCs w:val="21"/>
          <w:lang w:val="en-US" w:eastAsia="zh-CN"/>
        </w:rPr>
        <w:t xml:space="preserve">环境保护措施：</w:t>
      </w:r>
    </w:p>
    <w:p>
      <w:pPr>
        <w:spacing w:before="0" w:after="0" w:line="320" w:lineRule="exact"/>
      </w:pPr>
      <w:r>
        <w:rPr>
          <w:rFonts w:hint="eastAsia" w:ascii="Arial" w:hAnsi="Arial" w:eastAsia="微软雅黑" w:cs="Arial"/>
          <w:color w:val="1A1A1A"/>
          <w:sz w:val="21"/>
          <w:szCs w:val="21"/>
          <w:lang w:val="en-US" w:eastAsia="zh-CN"/>
        </w:rPr>
        <w:t xml:space="preserve">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w:t>
      </w:r>
    </w:p>
    <w:p>
      <w:pPr>
        <w:spacing w:before="0" w:after="0" w:line="320" w:lineRule="exact"/>
      </w:pPr>
      <w:r>
        <w:rPr>
          <w:rFonts w:hint="eastAsia" w:ascii="Arial" w:hAnsi="Arial" w:eastAsia="微软雅黑" w:cs="Arial"/>
          <w:color w:val="1A1A1A"/>
          <w:sz w:val="21"/>
          <w:szCs w:val="21"/>
          <w:lang w:val="en-US" w:eastAsia="zh-CN"/>
        </w:rPr>
        <w:t xml:space="preserve">小量泄露：尽量将泄露液体收集到密闭容器中，用棉布、沙土等吸收、转移。</w:t>
      </w:r>
    </w:p>
    <w:p>
      <w:pPr>
        <w:spacing w:before="0" w:after="0" w:line="320" w:lineRule="exact"/>
      </w:pPr>
      <w:r>
        <w:rPr>
          <w:rFonts w:hint="eastAsia" w:ascii="Arial" w:hAnsi="Arial" w:eastAsia="微软雅黑" w:cs="Arial"/>
          <w:color w:val="1A1A1A"/>
          <w:sz w:val="21"/>
          <w:szCs w:val="21"/>
          <w:lang w:val="en-US" w:eastAsia="zh-CN"/>
        </w:rPr>
        <w:t xml:space="preserve">大量泄露：构筑围堤或挖坑收容。封闭排水管道。用液体粘合材料吸收 (沙粒，硅藻土，酸性粘合剂，通用粘合剂，锯屑)，回收或转移至废物处理场所。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（水性产品无挥发性溶剂，但仍应避免污染水源。）</w:t>
      </w:r>
    </w:p>
    <w:p>
      <w:pPr>
        <w:spacing w:before="0" w:after="0" w:line="320" w:lineRule="exact"/>
      </w:pPr>
      <w:r>
        <w:rPr>
          <w:rFonts w:hint="eastAsia" w:ascii="Arial" w:hAnsi="Arial" w:eastAsia="微软雅黑" w:cs="Arial"/>
          <w:color w:val="1A1A1A"/>
          <w:sz w:val="21"/>
          <w:szCs w:val="21"/>
          <w:lang w:val="en-US" w:eastAsia="zh-CN"/>
        </w:rPr>
        <w:t xml:space="preserve">其它参照部分：</w:t>
      </w:r>
    </w:p>
    <w:p>
      <w:pPr>
        <w:spacing w:before="0" w:after="0" w:line="320" w:lineRule="exact"/>
      </w:pPr>
      <w:r>
        <w:rPr>
          <w:rFonts w:hint="eastAsia" w:ascii="Arial" w:hAnsi="Arial" w:eastAsia="微软雅黑" w:cs="Arial"/>
          <w:color w:val="1A1A1A"/>
          <w:sz w:val="21"/>
          <w:szCs w:val="21"/>
          <w:lang w:val="en-US" w:eastAsia="zh-CN"/>
        </w:rPr>
        <w:t xml:space="preserve">有关安全处理的资料请参阅第七项。</w:t>
      </w:r>
    </w:p>
    <w:p>
      <w:pPr>
        <w:spacing w:before="0" w:after="0" w:line="320" w:lineRule="exact"/>
      </w:pPr>
      <w:r>
        <w:rPr>
          <w:rFonts w:hint="eastAsia" w:ascii="Arial" w:hAnsi="Arial" w:eastAsia="微软雅黑" w:cs="Arial"/>
          <w:color w:val="1A1A1A"/>
          <w:sz w:val="21"/>
          <w:szCs w:val="21"/>
          <w:lang w:val="en-US" w:eastAsia="zh-CN"/>
        </w:rPr>
        <w:t xml:space="preserve">有关个人保护装备的资料请参阅第八项。</w:t>
      </w:r>
    </w:p>
    <w:p>
      <w:pPr>
        <w:spacing w:before="0" w:after="0" w:line="320" w:lineRule="exact"/>
      </w:pPr>
      <w:r>
        <w:rPr>
          <w:rFonts w:hint="eastAsia" w:ascii="Arial" w:hAnsi="Arial" w:eastAsia="微软雅黑" w:cs="Arial"/>
          <w:color w:val="1A1A1A"/>
          <w:sz w:val="21"/>
          <w:szCs w:val="21"/>
          <w:lang w:val="en-US" w:eastAsia="zh-CN"/>
        </w:rPr>
        <w:t xml:space="preserve">有关弃置的资料请参阅第十三项。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储存：储存在阴凉、干燥、通风的仓库内，防冻（0°C 以上）；容器密封。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组分名称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标准来源</w:t>
            </w:r>
          </w:p>
        </w:tc>
        <w:tc>
          <w:tcPr>
            <w:tcW w:w="13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类型</w:t>
            </w:r>
          </w:p>
        </w:tc>
        <w:tc>
          <w:tcPr>
            <w:tcW w:w="24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标准值</w:t>
            </w:r>
          </w:p>
        </w:tc>
        <w:tc>
          <w:tcPr>
            <w:tcW w:w="13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备注</w:t>
            </w:r>
          </w:p>
        </w:tc>
      </w:tr>
      <w:tr>
        <w:tc>
          <w:tcPr>
            <w:tcW w:w="18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不适用</w:t>
            </w:r>
          </w:p>
        </w:tc>
        <w:tc>
          <w:tcPr>
            <w:tcW w:w="1800" w:type="dxa"/>
            <w:vAlign w:val="center"/>
          </w:tcPr>
          <w:p>
            <w:pPr>
              <w:spacing w:before="0" w:after="0" w:line="300" w:lineRule="atLeast"/>
            </w:pPr>
          </w:p>
        </w:tc>
        <w:tc>
          <w:tcPr>
            <w:tcW w:w="1300" w:type="dxa"/>
            <w:vAlign w:val="center"/>
          </w:tcPr>
          <w:p>
            <w:pPr>
              <w:spacing w:before="0" w:after="0" w:line="300" w:lineRule="atLeast"/>
            </w:pPr>
          </w:p>
        </w:tc>
        <w:tc>
          <w:tcPr>
            <w:tcW w:w="2400" w:type="dxa"/>
            <w:vAlign w:val="center"/>
          </w:tcPr>
          <w:p>
            <w:pPr>
              <w:spacing w:before="0" w:after="0" w:line="300" w:lineRule="atLeast"/>
            </w:pPr>
          </w:p>
        </w:tc>
        <w:tc>
          <w:tcPr>
            <w:tcW w:w="1300" w:type="dxa"/>
            <w:vAlign w:val="center"/>
          </w:tcPr>
          <w:p>
            <w:pPr>
              <w:spacing w:before="0" w:after="0" w:line="300" w:lineRule="atLeast"/>
            </w:pPr>
          </w:p>
        </w:tc>
      </w:tr>
    </w:tbl>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个人防护装备：</w:t>
      </w:r>
    </w:p>
    <w:p>
      <w:pPr>
        <w:spacing w:before="0" w:after="0" w:line="320" w:lineRule="exact"/>
      </w:pPr>
      <w:r>
        <w:rPr>
          <w:rFonts w:hint="eastAsia" w:ascii="Arial" w:hAnsi="Arial" w:eastAsia="微软雅黑" w:cs="Arial"/>
          <w:color w:val="1A1A1A"/>
          <w:sz w:val="21"/>
          <w:szCs w:val="21"/>
          <w:lang w:val="en-US" w:eastAsia="zh-CN"/>
        </w:rPr>
        <w:t xml:space="preserve">- 一般保护和卫生措施：</w:t>
      </w:r>
    </w:p>
    <w:p>
      <w:pPr>
        <w:spacing w:before="0" w:after="0" w:line="320" w:lineRule="exact"/>
      </w:pPr>
      <w:r>
        <w:rPr>
          <w:rFonts w:hint="eastAsia" w:ascii="Arial" w:hAnsi="Arial" w:eastAsia="微软雅黑" w:cs="Arial"/>
          <w:color w:val="1A1A1A"/>
          <w:sz w:val="21"/>
          <w:szCs w:val="21"/>
          <w:lang w:val="en-US" w:eastAsia="zh-CN"/>
        </w:rPr>
        <w:t xml:space="preserve">远离食品，饮料和饲料。</w:t>
      </w:r>
    </w:p>
    <w:p>
      <w:pPr>
        <w:spacing w:before="0" w:after="0" w:line="320" w:lineRule="exact"/>
      </w:pPr>
      <w:r>
        <w:rPr>
          <w:rFonts w:hint="eastAsia" w:ascii="Arial" w:hAnsi="Arial" w:eastAsia="微软雅黑" w:cs="Arial"/>
          <w:color w:val="1A1A1A"/>
          <w:sz w:val="21"/>
          <w:szCs w:val="21"/>
          <w:lang w:val="en-US" w:eastAsia="zh-CN"/>
        </w:rPr>
        <w:t xml:space="preserve">立即除去弄脏和被污染的衣物。</w:t>
      </w:r>
    </w:p>
    <w:p>
      <w:pPr>
        <w:spacing w:before="0" w:after="0" w:line="320" w:lineRule="exact"/>
      </w:pPr>
      <w:r>
        <w:rPr>
          <w:rFonts w:hint="eastAsia" w:ascii="Arial" w:hAnsi="Arial" w:eastAsia="微软雅黑" w:cs="Arial"/>
          <w:color w:val="1A1A1A"/>
          <w:sz w:val="21"/>
          <w:szCs w:val="21"/>
          <w:lang w:val="en-US" w:eastAsia="zh-CN"/>
        </w:rPr>
        <w:t xml:space="preserve">休息前和工作完成后清洗双手。</w:t>
      </w:r>
    </w:p>
    <w:p>
      <w:pPr>
        <w:spacing w:before="0" w:after="0" w:line="320" w:lineRule="exact"/>
      </w:pPr>
      <w:r>
        <w:rPr>
          <w:rFonts w:hint="eastAsia" w:ascii="Arial" w:hAnsi="Arial" w:eastAsia="微软雅黑" w:cs="Arial"/>
          <w:color w:val="1A1A1A"/>
          <w:sz w:val="21"/>
          <w:szCs w:val="21"/>
          <w:lang w:val="en-US" w:eastAsia="zh-CN"/>
        </w:rPr>
        <w:t xml:space="preserve">单独放置防护用品。避免眼睛和皮肤接触原料。</w:t>
      </w:r>
    </w:p>
    <w:p>
      <w:pPr>
        <w:spacing w:before="0" w:after="0" w:line="320" w:lineRule="exact"/>
      </w:pPr>
      <w:r>
        <w:rPr>
          <w:rFonts w:hint="eastAsia" w:ascii="Arial" w:hAnsi="Arial" w:eastAsia="微软雅黑" w:cs="Arial"/>
          <w:color w:val="1A1A1A"/>
          <w:sz w:val="21"/>
          <w:szCs w:val="21"/>
          <w:lang w:val="en-US" w:eastAsia="zh-CN"/>
        </w:rPr>
        <w:t xml:space="preserve">- 呼吸系统防护：</w:t>
      </w:r>
    </w:p>
    <w:p>
      <w:pPr>
        <w:spacing w:before="0" w:after="0" w:line="320" w:lineRule="exact"/>
      </w:pPr>
      <w:r>
        <w:rPr>
          <w:rFonts w:hint="eastAsia" w:ascii="Arial" w:hAnsi="Arial" w:eastAsia="微软雅黑" w:cs="Arial"/>
          <w:color w:val="1A1A1A"/>
          <w:sz w:val="21"/>
          <w:szCs w:val="21"/>
          <w:lang w:val="en-US" w:eastAsia="zh-CN"/>
        </w:rPr>
        <w:t xml:space="preserve">一般无需特殊呼吸防护，保持通风即可。</w:t>
      </w:r>
    </w:p>
    <w:p>
      <w:pPr>
        <w:spacing w:before="0" w:after="0" w:line="320" w:lineRule="exact"/>
      </w:pPr>
      <w:r>
        <w:rPr>
          <w:rFonts w:hint="eastAsia" w:ascii="Arial" w:hAnsi="Arial" w:eastAsia="微软雅黑" w:cs="Arial"/>
          <w:color w:val="1A1A1A"/>
          <w:sz w:val="21"/>
          <w:szCs w:val="21"/>
          <w:lang w:val="en-US" w:eastAsia="zh-CN"/>
        </w:rPr>
        <w:t xml:space="preserve">- 眼面保护：</w:t>
      </w:r>
    </w:p>
    <w:p>
      <w:pPr>
        <w:spacing w:before="0" w:after="0" w:line="320" w:lineRule="exact"/>
      </w:pPr>
      <w:r>
        <w:rPr>
          <w:rFonts w:hint="eastAsia" w:ascii="Arial" w:hAnsi="Arial" w:eastAsia="微软雅黑" w:cs="Arial"/>
          <w:color w:val="1A1A1A"/>
          <w:sz w:val="21"/>
          <w:szCs w:val="21"/>
          <w:lang w:val="en-US" w:eastAsia="zh-CN"/>
        </w:rPr>
        <w:t xml:space="preserve">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w:t>
      </w:r>
    </w:p>
    <w:p>
      <w:pPr>
        <w:spacing w:before="0" w:after="0" w:line="320" w:lineRule="exact"/>
      </w:pPr>
      <w:r>
        <w:rPr>
          <w:rFonts w:hint="eastAsia" w:ascii="Arial" w:hAnsi="Arial" w:eastAsia="微软雅黑" w:cs="Arial"/>
          <w:color w:val="1A1A1A"/>
          <w:sz w:val="21"/>
          <w:szCs w:val="21"/>
          <w:lang w:val="en-US" w:eastAsia="zh-CN"/>
        </w:rPr>
        <w:t xml:space="preserve">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w:t>
      </w:r>
    </w:p>
    <w:p>
      <w:pPr>
        <w:spacing w:before="0" w:after="0" w:line="320" w:lineRule="exact"/>
      </w:pPr>
      <w:r>
        <w:rPr>
          <w:rFonts w:hint="eastAsia" w:ascii="Arial" w:hAnsi="Arial" w:eastAsia="微软雅黑" w:cs="Arial"/>
          <w:color w:val="1A1A1A"/>
          <w:sz w:val="21"/>
          <w:szCs w:val="21"/>
          <w:lang w:val="en-US" w:eastAsia="zh-CN"/>
        </w:rPr>
        <w:t xml:space="preserve">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乳白色</w:t>
      </w:r>
    </w:p>
    <w:p>
      <w:pPr>
        <w:spacing w:before="0" w:after="0" w:line="320" w:lineRule="exact"/>
      </w:pPr>
      <w:r>
        <w:rPr>
          <w:rFonts w:hint="eastAsia" w:ascii="Arial" w:hAnsi="Arial" w:eastAsia="微软雅黑" w:cs="Arial"/>
          <w:color w:val="1A1A1A"/>
          <w:sz w:val="21"/>
          <w:szCs w:val="21"/>
          <w:lang w:val="en-US" w:eastAsia="zh-CN"/>
        </w:rPr>
        <w:t xml:space="preserve">气味：　轻微气味</w:t>
      </w:r>
    </w:p>
    <w:p>
      <w:pPr>
        <w:spacing w:before="0" w:after="0" w:line="320" w:lineRule="exact"/>
      </w:pPr>
      <w:r>
        <w:rPr>
          <w:rFonts w:hint="eastAsia" w:ascii="Arial" w:hAnsi="Arial" w:eastAsia="微软雅黑" w:cs="Arial"/>
          <w:color w:val="1A1A1A"/>
          <w:sz w:val="21"/>
          <w:szCs w:val="21"/>
          <w:lang w:val="en-US" w:eastAsia="zh-CN"/>
        </w:rPr>
        <w:t xml:space="preserve">熔点：　0℃</w:t>
      </w:r>
    </w:p>
    <w:p>
      <w:pPr>
        <w:spacing w:before="0" w:after="0" w:line="320" w:lineRule="exact"/>
      </w:pPr>
      <w:r>
        <w:rPr>
          <w:rFonts w:hint="eastAsia" w:ascii="Arial" w:hAnsi="Arial" w:eastAsia="微软雅黑" w:cs="Arial"/>
          <w:color w:val="1A1A1A"/>
          <w:sz w:val="21"/>
          <w:szCs w:val="21"/>
          <w:lang w:val="en-US" w:eastAsia="zh-CN"/>
        </w:rPr>
        <w:t xml:space="preserve">沸点：　100℃</w:t>
      </w:r>
    </w:p>
    <w:p>
      <w:pPr>
        <w:spacing w:before="0" w:after="0" w:line="320" w:lineRule="exact"/>
      </w:pPr>
      <w:r>
        <w:rPr>
          <w:rFonts w:hint="eastAsia" w:ascii="Arial" w:hAnsi="Arial" w:eastAsia="微软雅黑" w:cs="Arial"/>
          <w:color w:val="1A1A1A"/>
          <w:sz w:val="21"/>
          <w:szCs w:val="21"/>
          <w:lang w:val="en-US" w:eastAsia="zh-CN"/>
        </w:rPr>
        <w:t xml:space="preserve">闪点：　不适用（水性，不易燃）</w:t>
      </w:r>
    </w:p>
    <w:p>
      <w:pPr>
        <w:spacing w:before="0" w:after="0" w:line="320" w:lineRule="exact"/>
      </w:pPr>
      <w:r>
        <w:rPr>
          <w:rFonts w:hint="eastAsia" w:ascii="Arial" w:hAnsi="Arial" w:eastAsia="微软雅黑" w:cs="Arial"/>
          <w:color w:val="1A1A1A"/>
          <w:sz w:val="21"/>
          <w:szCs w:val="21"/>
          <w:lang w:val="en-US" w:eastAsia="zh-CN"/>
        </w:rPr>
        <w:t xml:space="preserve">点燃温度：　不适用</w:t>
      </w:r>
    </w:p>
    <w:p>
      <w:pPr>
        <w:spacing w:before="0" w:after="0" w:line="320" w:lineRule="exact"/>
      </w:pPr>
      <w:r>
        <w:rPr>
          <w:rFonts w:hint="eastAsia" w:ascii="Arial" w:hAnsi="Arial" w:eastAsia="微软雅黑" w:cs="Arial"/>
          <w:color w:val="1A1A1A"/>
          <w:sz w:val="21"/>
          <w:szCs w:val="21"/>
          <w:lang w:val="en-US" w:eastAsia="zh-CN"/>
        </w:rPr>
        <w:t xml:space="preserve">自燃：　产品无自燃</w:t>
      </w:r>
    </w:p>
    <w:p>
      <w:pPr>
        <w:spacing w:before="0" w:after="0" w:line="320" w:lineRule="exact"/>
      </w:pPr>
      <w:r>
        <w:rPr>
          <w:rFonts w:hint="eastAsia" w:ascii="Arial" w:hAnsi="Arial" w:eastAsia="微软雅黑" w:cs="Arial"/>
          <w:color w:val="1A1A1A"/>
          <w:sz w:val="21"/>
          <w:szCs w:val="21"/>
          <w:lang w:val="en-US" w:eastAsia="zh-CN"/>
        </w:rPr>
        <w:t xml:space="preserve">爆炸危险：　产品无爆炸</w:t>
      </w:r>
    </w:p>
    <w:p>
      <w:pPr>
        <w:spacing w:before="0" w:after="0" w:line="320" w:lineRule="exact"/>
      </w:pPr>
      <w:r>
        <w:rPr>
          <w:rFonts w:hint="eastAsia" w:ascii="Arial" w:hAnsi="Arial" w:eastAsia="微软雅黑" w:cs="Arial"/>
          <w:color w:val="1A1A1A"/>
          <w:sz w:val="21"/>
          <w:szCs w:val="21"/>
          <w:lang w:val="en-US" w:eastAsia="zh-CN"/>
        </w:rPr>
        <w:t xml:space="preserve">爆炸上限：　不适用</w:t>
      </w:r>
    </w:p>
    <w:p>
      <w:pPr>
        <w:spacing w:before="0" w:after="0" w:line="320" w:lineRule="exact"/>
      </w:pPr>
      <w:r>
        <w:rPr>
          <w:rFonts w:hint="eastAsia" w:ascii="Arial" w:hAnsi="Arial" w:eastAsia="微软雅黑" w:cs="Arial"/>
          <w:color w:val="1A1A1A"/>
          <w:sz w:val="21"/>
          <w:szCs w:val="21"/>
          <w:lang w:val="en-US" w:eastAsia="zh-CN"/>
        </w:rPr>
        <w:t xml:space="preserve">爆炸下限：　不适用</w:t>
      </w:r>
    </w:p>
    <w:p>
      <w:pPr>
        <w:spacing w:before="0" w:after="0" w:line="320" w:lineRule="exact"/>
      </w:pPr>
      <w:r>
        <w:rPr>
          <w:rFonts w:hint="eastAsia" w:ascii="Arial" w:hAnsi="Arial" w:eastAsia="微软雅黑" w:cs="Arial"/>
          <w:color w:val="1A1A1A"/>
          <w:sz w:val="21"/>
          <w:szCs w:val="21"/>
          <w:lang w:val="en-US" w:eastAsia="zh-CN"/>
        </w:rPr>
        <w:t xml:space="preserve">蒸气压力 (20℃)：　不适用</w:t>
      </w:r>
    </w:p>
    <w:p>
      <w:pPr>
        <w:spacing w:before="0" w:after="0" w:line="320" w:lineRule="exact"/>
      </w:pPr>
      <w:r>
        <w:rPr>
          <w:rFonts w:hint="eastAsia" w:ascii="Arial" w:hAnsi="Arial" w:eastAsia="微软雅黑" w:cs="Arial"/>
          <w:color w:val="1A1A1A"/>
          <w:sz w:val="21"/>
          <w:szCs w:val="21"/>
          <w:lang w:val="en-US" w:eastAsia="zh-CN"/>
        </w:rPr>
        <w:t xml:space="preserve">密度：　约 1.0 g/cm³</w:t>
      </w:r>
    </w:p>
    <w:p>
      <w:pPr>
        <w:spacing w:before="0" w:after="0" w:line="320" w:lineRule="exact"/>
      </w:pPr>
      <w:r>
        <w:rPr>
          <w:rFonts w:hint="eastAsia" w:ascii="Arial" w:hAnsi="Arial" w:eastAsia="微软雅黑" w:cs="Arial"/>
          <w:color w:val="1A1A1A"/>
          <w:sz w:val="21"/>
          <w:szCs w:val="21"/>
          <w:lang w:val="en-US" w:eastAsia="zh-CN"/>
        </w:rPr>
        <w:t xml:space="preserve">松密度：　不适用</w:t>
      </w:r>
    </w:p>
    <w:p>
      <w:pPr>
        <w:spacing w:before="0" w:after="0" w:line="320" w:lineRule="exact"/>
      </w:pPr>
      <w:r>
        <w:rPr>
          <w:rFonts w:hint="eastAsia" w:ascii="Arial" w:hAnsi="Arial" w:eastAsia="微软雅黑" w:cs="Arial"/>
          <w:color w:val="1A1A1A"/>
          <w:sz w:val="21"/>
          <w:szCs w:val="21"/>
          <w:lang w:val="en-US" w:eastAsia="zh-CN"/>
        </w:rPr>
        <w:t xml:space="preserve">水中溶解度：　可与水混溶</w:t>
      </w:r>
    </w:p>
    <w:p>
      <w:pPr>
        <w:spacing w:before="0" w:after="0" w:line="320" w:lineRule="exact"/>
      </w:pPr>
      <w:r>
        <w:rPr>
          <w:rFonts w:hint="eastAsia" w:ascii="Arial" w:hAnsi="Arial" w:eastAsia="微软雅黑" w:cs="Arial"/>
          <w:color w:val="1A1A1A"/>
          <w:sz w:val="21"/>
          <w:szCs w:val="21"/>
          <w:lang w:val="en-US" w:eastAsia="zh-CN"/>
        </w:rPr>
        <w:t xml:space="preserve">粘度 20 摄氏度时：　未确定的</w:t>
      </w:r>
    </w:p>
    <w:p>
      <w:pPr>
        <w:spacing w:before="0" w:after="0" w:line="320" w:lineRule="exact"/>
      </w:pPr>
      <w:r>
        <w:rPr>
          <w:rFonts w:hint="eastAsia" w:ascii="Arial" w:hAnsi="Arial" w:eastAsia="微软雅黑" w:cs="Arial"/>
          <w:color w:val="1A1A1A"/>
          <w:sz w:val="21"/>
          <w:szCs w:val="21"/>
          <w:lang w:val="en-US" w:eastAsia="zh-CN"/>
        </w:rPr>
        <w:t xml:space="preserve">溶剂分离测试：　不适用</w:t>
      </w:r>
    </w:p>
    <w:p>
      <w:pPr>
        <w:spacing w:before="0" w:after="0" w:line="320" w:lineRule="exact"/>
      </w:pPr>
      <w:r>
        <w:rPr>
          <w:rFonts w:hint="eastAsia" w:ascii="Arial" w:hAnsi="Arial" w:eastAsia="微软雅黑" w:cs="Arial"/>
          <w:color w:val="1A1A1A"/>
          <w:sz w:val="21"/>
          <w:szCs w:val="21"/>
          <w:lang w:val="en-US" w:eastAsia="zh-CN"/>
        </w:rPr>
        <w:t xml:space="preserve">固体含量：　20%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有可能的有害反应：在极端条件下（冻结/高温）可能破乳分层</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有害分解物质：一氧化碳，二氧化碳，氧化氮，氯化氢</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急性毒性：未确定的。本品水性体系低毒。</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0" w:after="0" w:line="320" w:lineRule="exact"/>
      </w:pPr>
      <w:r>
        <w:rPr>
          <w:rFonts w:hint="eastAsia" w:ascii="Arial" w:hAnsi="Arial" w:eastAsia="微软雅黑" w:cs="Arial"/>
          <w:color w:val="1A1A1A"/>
          <w:sz w:val="21"/>
          <w:szCs w:val="21"/>
          <w:lang w:val="en-US" w:eastAsia="zh-CN"/>
        </w:rPr>
        <w:t xml:space="preserve">低毒。</w:t>
      </w:r>
    </w:p>
    <w:p>
      <w:pPr>
        <w:spacing w:before="0" w:after="0" w:line="320" w:lineRule="exact"/>
      </w:pPr>
      <w:r>
        <w:rPr>
          <w:rFonts w:hint="eastAsia" w:ascii="Arial" w:hAnsi="Arial" w:eastAsia="微软雅黑" w:cs="Arial"/>
          <w:color w:val="1A1A1A"/>
          <w:sz w:val="21"/>
          <w:szCs w:val="21"/>
          <w:lang w:val="en-US" w:eastAsia="zh-CN"/>
        </w:rPr>
        <w:t xml:space="preserve">和皮肤接触时无刺激；</w:t>
      </w:r>
    </w:p>
    <w:p>
      <w:pPr>
        <w:spacing w:before="0" w:after="0" w:line="320" w:lineRule="exact"/>
      </w:pPr>
      <w:r>
        <w:rPr>
          <w:rFonts w:hint="eastAsia" w:ascii="Arial" w:hAnsi="Arial" w:eastAsia="微软雅黑" w:cs="Arial"/>
          <w:color w:val="1A1A1A"/>
          <w:sz w:val="21"/>
          <w:szCs w:val="21"/>
          <w:lang w:val="en-US" w:eastAsia="zh-CN"/>
        </w:rPr>
        <w:t xml:space="preserve">与眼睛接触时有刺激感觉；</w:t>
      </w:r>
    </w:p>
    <w:p>
      <w:pPr>
        <w:spacing w:before="0" w:after="0" w:line="320" w:lineRule="exact"/>
      </w:pPr>
      <w:r>
        <w:rPr>
          <w:rFonts w:hint="eastAsia" w:ascii="Arial" w:hAnsi="Arial" w:eastAsia="微软雅黑" w:cs="Arial"/>
          <w:color w:val="1A1A1A"/>
          <w:sz w:val="21"/>
          <w:szCs w:val="21"/>
          <w:lang w:val="en-US" w:eastAsia="zh-CN"/>
        </w:rPr>
        <w:t xml:space="preserve">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本品为水性体系，对水环境危害较低；仍不允许本品大量进入地下水、污水系统等。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包装：彻底清空包装内的原料。在进行了全面和正确的清洁后可以循环使用。清洗液应该进行无害化处理。</w:t>
      </w:r>
    </w:p>
    <w:p>
      <w:pPr>
        <w:spacing w:before="0" w:after="0" w:line="320" w:lineRule="exact"/>
      </w:pPr>
      <w:r>
        <w:rPr>
          <w:rFonts w:hint="eastAsia" w:ascii="Arial" w:hAnsi="Arial" w:eastAsia="微软雅黑" w:cs="Arial"/>
          <w:color w:val="1A1A1A"/>
          <w:sz w:val="21"/>
          <w:szCs w:val="21"/>
          <w:lang w:val="en-US" w:eastAsia="zh-CN"/>
        </w:rPr>
        <w:t xml:space="preserve">如果不能完全清洁，则需同产品一样的方法来处置。</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w:t>
      </w:r>
    </w:p>
    <w:p>
      <w:pPr>
        <w:spacing w:before="0" w:after="0" w:line="320" w:lineRule="exact"/>
      </w:pPr>
      <w:r>
        <w:rPr>
          <w:rFonts w:hint="eastAsia" w:ascii="Arial" w:hAnsi="Arial" w:eastAsia="微软雅黑" w:cs="Arial"/>
          <w:color w:val="1A1A1A"/>
          <w:sz w:val="21"/>
          <w:szCs w:val="21"/>
          <w:lang w:val="en-US" w:eastAsia="zh-CN"/>
        </w:rPr>
        <w:t xml:space="preserve">海运等级：不适用</w:t>
      </w:r>
    </w:p>
    <w:p>
      <w:pPr>
        <w:spacing w:before="0" w:after="0" w:line="320" w:lineRule="exact"/>
      </w:pPr>
      <w:r>
        <w:rPr>
          <w:rFonts w:hint="eastAsia" w:ascii="Arial" w:hAnsi="Arial" w:eastAsia="微软雅黑" w:cs="Arial"/>
          <w:color w:val="1A1A1A"/>
          <w:sz w:val="21"/>
          <w:szCs w:val="21"/>
          <w:lang w:val="en-US" w:eastAsia="zh-CN"/>
        </w:rPr>
        <w:t xml:space="preserve">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包装方法：200L 塑料桶，50L 塑料桶</w:t>
      </w:r>
    </w:p>
    <w:p>
      <w:pPr>
        <w:spacing w:before="0" w:after="0" w:line="320" w:lineRule="exact"/>
      </w:pPr>
      <w:r>
        <w:rPr>
          <w:rFonts w:hint="eastAsia" w:ascii="Arial" w:hAnsi="Arial" w:eastAsia="微软雅黑" w:cs="Arial"/>
          <w:color w:val="1A1A1A"/>
          <w:sz w:val="21"/>
          <w:szCs w:val="21"/>
          <w:lang w:val="en-US" w:eastAsia="zh-CN"/>
        </w:rPr>
        <w:t xml:space="preserve">运输注意事项：防冻、防曝晒、防雨淋。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《危险化学品安全管理条例》(国务院令第591号，2011年3月2日发布)针对危险化学品的安全生产、使用、储存、运输、装卸等方面均作了相应规定。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缩略语和首字母缩写：</w:t>
      </w:r>
    </w:p>
    <w:p>
      <w:pPr>
        <w:spacing w:before="0" w:after="0" w:line="320" w:lineRule="exact"/>
      </w:pPr>
      <w:r>
        <w:rPr>
          <w:rFonts w:hint="eastAsia" w:ascii="Arial" w:hAnsi="Arial" w:eastAsia="微软雅黑" w:cs="Arial"/>
          <w:color w:val="1A1A1A"/>
          <w:sz w:val="21"/>
          <w:szCs w:val="21"/>
          <w:lang w:val="en-US" w:eastAsia="zh-CN"/>
        </w:rPr>
        <w:t xml:space="preserve">GHS：Globally Harmonized System of Classification and Labelling of Chemicals，全球化学品统一分类和标签制度。</w:t>
      </w:r>
    </w:p>
    <w:p>
      <w:pPr>
        <w:spacing w:before="0" w:after="0" w:line="320" w:lineRule="exact"/>
      </w:pPr>
      <w:r>
        <w:rPr>
          <w:rFonts w:hint="eastAsia" w:ascii="Arial" w:hAnsi="Arial" w:eastAsia="微软雅黑" w:cs="Arial"/>
          <w:color w:val="1A1A1A"/>
          <w:sz w:val="21"/>
          <w:szCs w:val="21"/>
          <w:lang w:val="en-US" w:eastAsia="zh-CN"/>
        </w:rPr>
        <w:t xml:space="preserve">LC50：Lethal concentration，50 percent，半数致死浓度。</w:t>
      </w:r>
    </w:p>
    <w:p>
      <w:pPr>
        <w:spacing w:before="0" w:after="0" w:line="320" w:lineRule="exact"/>
      </w:pPr>
      <w:r>
        <w:rPr>
          <w:rFonts w:hint="eastAsia" w:ascii="Arial" w:hAnsi="Arial" w:eastAsia="微软雅黑" w:cs="Arial"/>
          <w:color w:val="1A1A1A"/>
          <w:sz w:val="21"/>
          <w:szCs w:val="21"/>
          <w:lang w:val="en-US" w:eastAsia="zh-CN"/>
        </w:rPr>
        <w:t xml:space="preserve">LD50：Lethal dose，50 percent，半数致死量。</w:t>
      </w:r>
    </w:p>
    <w:p>
      <w:pPr>
        <w:spacing w:before="0" w:after="0" w:line="320" w:lineRule="exact"/>
      </w:pPr>
      <w:r>
        <w:rPr>
          <w:rFonts w:hint="eastAsia" w:ascii="Arial" w:hAnsi="Arial" w:eastAsia="微软雅黑" w:cs="Arial"/>
          <w:color w:val="1A1A1A"/>
          <w:sz w:val="21"/>
          <w:szCs w:val="21"/>
          <w:lang w:val="en-US" w:eastAsia="zh-CN"/>
        </w:rPr>
        <w:t xml:space="preserve">培训信息：</w:t>
      </w:r>
    </w:p>
    <w:p>
      <w:pPr>
        <w:spacing w:before="0" w:after="0" w:line="320" w:lineRule="exact"/>
      </w:pPr>
      <w:r>
        <w:rPr>
          <w:rFonts w:hint="eastAsia" w:ascii="Arial" w:hAnsi="Arial" w:eastAsia="微软雅黑" w:cs="Arial"/>
          <w:color w:val="1A1A1A"/>
          <w:sz w:val="21"/>
          <w:szCs w:val="21"/>
          <w:lang w:val="en-US" w:eastAsia="zh-CN"/>
        </w:rPr>
        <w:t xml:space="preserve">根据需要，对员工进行安全培训，对操作、使用进行培训。</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联络人：Bruce</w:t>
      </w:r>
    </w:p>
    <w:p>
      <w:pPr>
        <w:spacing w:before="0" w:after="0" w:line="320" w:lineRule="exact"/>
      </w:pPr>
      <w:r>
        <w:rPr>
          <w:rFonts w:hint="eastAsia" w:ascii="Arial" w:hAnsi="Arial" w:eastAsia="微软雅黑" w:cs="Arial"/>
          <w:color w:val="1A1A1A"/>
          <w:sz w:val="21"/>
          <w:szCs w:val="21"/>
          <w:lang w:val="en-US" w:eastAsia="zh-CN"/>
        </w:rPr>
        <w:t xml:space="preserve">免责声明：</w:t>
      </w:r>
    </w:p>
    <w:p>
      <w:pPr>
        <w:spacing w:before="0" w:after="0" w:line="320" w:lineRule="exact"/>
      </w:pPr>
      <w:r>
        <w:rPr>
          <w:rFonts w:hint="eastAsia" w:ascii="Arial" w:hAnsi="Arial" w:eastAsia="微软雅黑" w:cs="Arial"/>
          <w:color w:val="1A1A1A"/>
          <w:sz w:val="21"/>
          <w:szCs w:val="21"/>
          <w:lang w:val="en-US" w:eastAsia="zh-CN"/>
        </w:rPr>
        <w:t xml:space="preserve">本 MSDS 的信息仅适用于所指定的产品，除非特别指明，对于本产品与其他物质的混合等情况不适用。</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