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http://schemas.openxmlformats.org/wordprocessingml/2006/main" xmlns:r="http://schemas.openxmlformats.org/officeDocument/2006/relationships">
  <w:body>
    <w:p>
      <w:pPr>
        <w:spacing w:before="0" w:after="0" w:line="440" w:lineRule="exact"/>
        <w:jc w:val="center"/>
      </w:pPr>
      <w:r>
        <w:rPr>
          <w:rFonts w:hint="eastAsia" w:ascii="Arial" w:hAnsi="Arial" w:eastAsia="微软雅黑" w:cs="Arial"/>
          <w:b/>
          <w:color w:val="16314F"/>
          <w:sz w:val="30"/>
          <w:szCs w:val="30"/>
          <w:lang w:val="en-US" w:eastAsia="zh-CN"/>
        </w:rPr>
        <w:t xml:space="preserve">化学品安全技术说明书</w:t>
      </w:r>
    </w:p>
    <w:p>
      <w:pPr>
        <w:spacing w:before="0" w:after="0" w:line="260" w:lineRule="exact"/>
        <w:shd w:val="clear" w:fill="16314F"/>
        <w:jc w:val="center"/>
      </w:pPr>
      <w:r>
        <w:rPr>
          <w:rFonts w:hint="eastAsia" w:ascii="Arial" w:hAnsi="Arial" w:eastAsia="Arial" w:cs="Arial"/>
          <w:color w:val="D9A85A"/>
          <w:sz w:val="17"/>
          <w:szCs w:val="17"/>
          <w:lang w:val="en-US" w:eastAsia="zh-CN"/>
        </w:rPr>
        <w:t xml:space="preserve">SAFETY DATA SHEET</w:t>
      </w:r>
    </w:p>
    <w:p>
      <w:pPr>
        <w:spacing w:before="0" w:after="0" w:line="60" w:lineRule="exact"/>
        <w:shd w:val="clear" w:fill="C8923C"/>
      </w:pPr>
    </w:p>
    <w:p>
      <w:pPr>
        <w:spacing w:before="120" w:after="0" w:line="360" w:lineRule="exact"/>
        <w:shd w:val="clear" w:fill="F5F7FA"/>
        <w:pBdr>
          <w:left w:val="single" w:sz="18" w:space="6" w:color="C8923C"/>
        </w:pBdr>
      </w:pPr>
      <w:r>
        <w:rPr>
          <w:rFonts w:hint="eastAsia" w:ascii="Arial" w:hAnsi="Arial" w:eastAsia="微软雅黑" w:cs="Arial"/>
          <w:b/>
          <w:color w:val="16314F"/>
          <w:sz w:val="21"/>
          <w:szCs w:val="21"/>
          <w:lang w:val="en-US" w:eastAsia="zh-CN"/>
        </w:rPr>
        <w:t xml:space="preserve">产品名称：防霉亚克力表处剂37203</w:t>
      </w:r>
    </w:p>
    <w:p>
      <w:pPr>
        <w:spacing w:before="0" w:after="0" w:line="320" w:lineRule="exact"/>
      </w:pPr>
      <w:r>
        <w:rPr>
          <w:rFonts w:hint="eastAsia" w:ascii="Arial" w:hAnsi="Arial" w:eastAsia="微软雅黑" w:cs="Arial"/>
          <w:color w:val="1A1A1A"/>
          <w:sz w:val="19"/>
          <w:szCs w:val="19"/>
          <w:lang w:val="en-US" w:eastAsia="zh-CN"/>
        </w:rPr>
        <w:t xml:space="preserve">修订日期：2025年7月1日　　最初编制日期：2025年7月1日</w:t>
      </w:r>
    </w:p>
    <w:p>
      <w:pPr>
        <w:spacing w:before="0" w:after="0" w:line="320" w:lineRule="exact"/>
      </w:pPr>
      <w:r>
        <w:rPr>
          <w:rFonts w:hint="eastAsia" w:ascii="Arial" w:hAnsi="Arial" w:eastAsia="微软雅黑" w:cs="Arial"/>
          <w:color w:val="1A1A1A"/>
          <w:sz w:val="19"/>
          <w:szCs w:val="19"/>
          <w:lang w:val="en-US" w:eastAsia="zh-CN"/>
        </w:rPr>
        <w:t xml:space="preserve">按照 GB/T 16483、GB/T 17519 编制　　MSDS 编号：RCN150801　　版本：2.0</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第一项　化学品及企业标识</w:t>
      </w:r>
    </w:p>
    <w:p>
      <w:pPr>
        <w:spacing w:before="0" w:after="0" w:line="320" w:lineRule="exact"/>
      </w:pPr>
      <w:r>
        <w:rPr>
          <w:rFonts w:hint="eastAsia" w:ascii="Arial" w:hAnsi="Arial" w:eastAsia="微软雅黑" w:cs="Arial"/>
          <w:color w:val="1A1A1A"/>
          <w:sz w:val="21"/>
          <w:szCs w:val="21"/>
          <w:lang w:val="en-US" w:eastAsia="zh-CN"/>
        </w:rPr>
        <w:t xml:space="preserve">化学品中文名称：表面处理剂，为一种涂料</w:t>
      </w:r>
    </w:p>
    <w:p>
      <w:pPr>
        <w:spacing w:before="0" w:after="0" w:line="320" w:lineRule="exact"/>
      </w:pPr>
      <w:r>
        <w:rPr>
          <w:rFonts w:hint="eastAsia" w:ascii="Arial" w:hAnsi="Arial" w:eastAsia="微软雅黑" w:cs="Arial"/>
          <w:color w:val="1A1A1A"/>
          <w:sz w:val="21"/>
          <w:szCs w:val="21"/>
          <w:lang w:val="en-US" w:eastAsia="zh-CN"/>
        </w:rPr>
        <w:t xml:space="preserve">型号：防霉亚克力表处剂37203</w:t>
      </w:r>
    </w:p>
    <w:p>
      <w:pPr>
        <w:spacing w:before="0" w:after="0" w:line="320" w:lineRule="exact"/>
      </w:pPr>
      <w:r>
        <w:rPr>
          <w:rFonts w:hint="eastAsia" w:ascii="Arial" w:hAnsi="Arial" w:eastAsia="微软雅黑" w:cs="Arial"/>
          <w:color w:val="1A1A1A"/>
          <w:sz w:val="21"/>
          <w:szCs w:val="21"/>
          <w:lang w:val="en-US" w:eastAsia="zh-CN"/>
        </w:rPr>
        <w:t xml:space="preserve">供应商名称：曜尘新材料科技 (上海) 有限公司</w:t>
      </w:r>
    </w:p>
    <w:p>
      <w:pPr>
        <w:spacing w:before="0" w:after="0" w:line="320" w:lineRule="exact"/>
      </w:pPr>
      <w:r>
        <w:rPr>
          <w:rFonts w:hint="eastAsia" w:ascii="Arial" w:hAnsi="Arial" w:eastAsia="微软雅黑" w:cs="Arial"/>
          <w:color w:val="1A1A1A"/>
          <w:sz w:val="21"/>
          <w:szCs w:val="21"/>
          <w:lang w:val="en-US" w:eastAsia="zh-CN"/>
        </w:rPr>
        <w:t xml:space="preserve">地址：上海市松江区文翔东路58号5幢401室</w:t>
      </w:r>
    </w:p>
    <w:p>
      <w:pPr>
        <w:spacing w:before="0" w:after="0" w:line="320" w:lineRule="exact"/>
      </w:pPr>
      <w:r>
        <w:rPr>
          <w:rFonts w:hint="eastAsia" w:ascii="Arial" w:hAnsi="Arial" w:eastAsia="微软雅黑" w:cs="Arial"/>
          <w:color w:val="1A1A1A"/>
          <w:sz w:val="21"/>
          <w:szCs w:val="21"/>
          <w:lang w:val="en-US" w:eastAsia="zh-CN"/>
        </w:rPr>
        <w:t xml:space="preserve">技术说明书版本：2025年7月1日</w:t>
      </w:r>
    </w:p>
    <w:p>
      <w:pPr>
        <w:spacing w:before="0" w:after="0" w:line="320" w:lineRule="exact"/>
      </w:pPr>
      <w:r>
        <w:rPr>
          <w:rFonts w:hint="eastAsia" w:ascii="Arial" w:hAnsi="Arial" w:eastAsia="微软雅黑" w:cs="Arial"/>
          <w:color w:val="1A1A1A"/>
          <w:sz w:val="21"/>
          <w:szCs w:val="21"/>
          <w:lang w:val="en-US" w:eastAsia="zh-CN"/>
        </w:rPr>
        <w:t xml:space="preserve">资料部门：安全，健康和环境保护部门</w:t>
      </w:r>
    </w:p>
    <w:p>
      <w:pPr>
        <w:spacing w:before="0" w:after="0" w:line="320" w:lineRule="exact"/>
      </w:pPr>
      <w:r>
        <w:rPr>
          <w:rFonts w:hint="eastAsia" w:ascii="Arial" w:hAnsi="Arial" w:eastAsia="微软雅黑" w:cs="Arial"/>
          <w:color w:val="1A1A1A"/>
          <w:sz w:val="21"/>
          <w:szCs w:val="21"/>
          <w:lang w:val="en-US" w:eastAsia="zh-CN"/>
        </w:rPr>
        <w:t xml:space="preserve">紧急电话：+8615900447637</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第二项　危险性概述</w:t>
      </w:r>
    </w:p>
    <w:p>
      <w:pPr>
        <w:spacing w:before="0" w:after="0" w:line="320" w:lineRule="exact"/>
      </w:pPr>
      <w:r>
        <w:rPr>
          <w:rFonts w:hint="eastAsia" w:ascii="Arial" w:hAnsi="Arial" w:eastAsia="微软雅黑" w:cs="Arial"/>
          <w:color w:val="1A1A1A"/>
          <w:sz w:val="21"/>
          <w:szCs w:val="21"/>
          <w:lang w:val="en-US" w:eastAsia="zh-CN"/>
        </w:rPr>
        <w:t xml:space="preserve">GHS 危险性类别</w:t>
      </w:r>
    </w:p>
    <w:p>
      <w:pPr>
        <w:spacing w:before="0" w:after="0" w:line="320" w:lineRule="exact"/>
      </w:pPr>
      <w:r>
        <w:rPr>
          <w:rFonts w:hint="eastAsia" w:ascii="Arial" w:hAnsi="Arial" w:eastAsia="微软雅黑" w:cs="Arial"/>
          <w:color w:val="1A1A1A"/>
          <w:sz w:val="21"/>
          <w:szCs w:val="21"/>
          <w:lang w:val="en-US" w:eastAsia="zh-CN"/>
        </w:rPr>
        <w:t xml:space="preserve">根据标准 EC 1272/2008 归类，属：</w:t>
      </w:r>
    </w:p>
    <w:p>
      <w:pPr>
        <w:spacing w:before="0" w:after="0" w:line="320" w:lineRule="exact"/>
      </w:pPr>
      <w:r>
        <w:rPr>
          <w:rFonts w:hint="eastAsia" w:ascii="Arial" w:hAnsi="Arial" w:eastAsia="微软雅黑" w:cs="Arial"/>
          <w:color w:val="1A1A1A"/>
          <w:sz w:val="21"/>
          <w:szCs w:val="21"/>
          <w:lang w:val="en-US" w:eastAsia="zh-CN"/>
        </w:rPr>
        <w:t xml:space="preserve">GHS02 火焰　H225 高度易燃液体和蒸气</w:t>
      </w:r>
    </w:p>
    <w:p>
      <w:pPr>
        <w:spacing w:before="0" w:after="0" w:line="320" w:lineRule="exact"/>
      </w:pPr>
      <w:r>
        <w:rPr>
          <w:rFonts w:hint="eastAsia" w:ascii="Arial" w:hAnsi="Arial" w:eastAsia="微软雅黑" w:cs="Arial"/>
          <w:color w:val="1A1A1A"/>
          <w:sz w:val="21"/>
          <w:szCs w:val="21"/>
          <w:lang w:val="en-US" w:eastAsia="zh-CN"/>
        </w:rPr>
        <w:t xml:space="preserve">GHS08 健康危险　H360D 可能会对未出生的婴儿造成损害</w:t>
      </w:r>
    </w:p>
    <w:p>
      <w:pPr>
        <w:spacing w:before="0" w:after="0" w:line="320" w:lineRule="exact"/>
      </w:pPr>
      <w:r>
        <w:rPr>
          <w:rFonts w:hint="eastAsia" w:ascii="Arial" w:hAnsi="Arial" w:eastAsia="微软雅黑" w:cs="Arial"/>
          <w:color w:val="1A1A1A"/>
          <w:sz w:val="21"/>
          <w:szCs w:val="21"/>
          <w:lang w:val="en-US" w:eastAsia="zh-CN"/>
        </w:rPr>
        <w:t xml:space="preserve">GHS07　H319 刺激眼睛　H336 气味可能引起瞌睡或者头晕。</w:t>
      </w:r>
    </w:p>
    <w:p>
      <w:pPr>
        <w:spacing w:before="0" w:after="0" w:line="320" w:lineRule="exact"/>
      </w:pPr>
      <w:r>
        <w:rPr>
          <w:rFonts w:hint="eastAsia" w:ascii="Arial" w:hAnsi="Arial" w:eastAsia="微软雅黑" w:cs="Arial"/>
          <w:color w:val="1A1A1A"/>
          <w:sz w:val="21"/>
          <w:szCs w:val="21"/>
          <w:lang w:val="en-US" w:eastAsia="zh-CN"/>
        </w:rPr>
        <w:t xml:space="preserve">标签要素：本产品根据化学物质分类及标记全球协调制度(GHS)进行了分类及标记</w:t>
      </w:r>
    </w:p>
    <w:p>
      <w:pPr>
        <w:spacing w:before="0" w:after="0" w:line="320" w:lineRule="exact"/>
      </w:pPr>
      <w:r>
        <w:rPr>
          <w:rFonts w:hint="eastAsia" w:ascii="Arial" w:hAnsi="Arial" w:eastAsia="微软雅黑" w:cs="Arial"/>
          <w:color w:val="1A1A1A"/>
          <w:sz w:val="21"/>
          <w:szCs w:val="21"/>
          <w:lang w:val="en-US" w:eastAsia="zh-CN"/>
        </w:rPr>
        <w:t xml:space="preserve">警示词：危险</w:t>
      </w:r>
    </w:p>
    <w:p>
      <w:pPr>
        <w:spacing w:before="0" w:after="0" w:line="320" w:lineRule="exact"/>
      </w:pPr>
      <w:r>
        <w:rPr>
          <w:rFonts w:hint="eastAsia" w:ascii="Arial" w:hAnsi="Arial" w:eastAsia="微软雅黑" w:cs="Arial"/>
          <w:color w:val="1A1A1A"/>
          <w:sz w:val="21"/>
          <w:szCs w:val="21"/>
          <w:lang w:val="en-US" w:eastAsia="zh-CN"/>
        </w:rPr>
        <w:t xml:space="preserve">危险性说明：易燃液体和蒸气，引起眼睛刺激，可能引起昏睡或眩晕。</w:t>
      </w:r>
    </w:p>
    <w:p>
      <w:pPr>
        <w:spacing w:before="0" w:after="0" w:line="320" w:lineRule="exact"/>
      </w:pPr>
      <w:r>
        <w:rPr>
          <w:rFonts w:hint="eastAsia" w:ascii="Arial" w:hAnsi="Arial" w:eastAsia="微软雅黑" w:cs="Arial"/>
          <w:color w:val="1A1A1A"/>
          <w:sz w:val="21"/>
          <w:szCs w:val="21"/>
          <w:lang w:val="en-US" w:eastAsia="zh-CN"/>
        </w:rPr>
        <w:t xml:space="preserve">健康危害：</w:t>
      </w:r>
    </w:p>
    <w:p>
      <w:pPr>
        <w:spacing w:before="0" w:after="0" w:line="320" w:lineRule="exact"/>
      </w:pPr>
      <w:r>
        <w:rPr>
          <w:rFonts w:hint="eastAsia" w:ascii="Arial" w:hAnsi="Arial" w:eastAsia="微软雅黑" w:cs="Arial"/>
          <w:color w:val="1A1A1A"/>
          <w:sz w:val="21"/>
          <w:szCs w:val="21"/>
          <w:lang w:val="en-US" w:eastAsia="zh-CN"/>
        </w:rPr>
        <w:t xml:space="preserve">吸入：可经肺部吸收，出现倦睡或眩晕，</w:t>
      </w:r>
    </w:p>
    <w:p>
      <w:pPr>
        <w:spacing w:before="0" w:after="0" w:line="320" w:lineRule="exact"/>
      </w:pPr>
      <w:r>
        <w:rPr>
          <w:rFonts w:hint="eastAsia" w:ascii="Arial" w:hAnsi="Arial" w:eastAsia="微软雅黑" w:cs="Arial"/>
          <w:color w:val="1A1A1A"/>
          <w:sz w:val="21"/>
          <w:szCs w:val="21"/>
          <w:lang w:val="en-US" w:eastAsia="zh-CN"/>
        </w:rPr>
        <w:t xml:space="preserve">食入：吞咽有害</w:t>
      </w:r>
    </w:p>
    <w:p>
      <w:pPr>
        <w:spacing w:before="0" w:after="0" w:line="320" w:lineRule="exact"/>
      </w:pPr>
      <w:r>
        <w:rPr>
          <w:rFonts w:hint="eastAsia" w:ascii="Arial" w:hAnsi="Arial" w:eastAsia="微软雅黑" w:cs="Arial"/>
          <w:color w:val="1A1A1A"/>
          <w:sz w:val="21"/>
          <w:szCs w:val="21"/>
          <w:lang w:val="en-US" w:eastAsia="zh-CN"/>
        </w:rPr>
        <w:t xml:space="preserve">眼睛：引起严重的眼睛刺激</w:t>
      </w:r>
    </w:p>
    <w:p>
      <w:pPr>
        <w:spacing w:before="0" w:after="0" w:line="320" w:lineRule="exact"/>
      </w:pPr>
      <w:r>
        <w:rPr>
          <w:rFonts w:hint="eastAsia" w:ascii="Arial" w:hAnsi="Arial" w:eastAsia="微软雅黑" w:cs="Arial"/>
          <w:color w:val="1A1A1A"/>
          <w:sz w:val="21"/>
          <w:szCs w:val="21"/>
          <w:lang w:val="en-US" w:eastAsia="zh-CN"/>
        </w:rPr>
        <w:t xml:space="preserve">慢性影响：长期或反复过量接触，可能损害生育力或胎儿</w:t>
      </w:r>
    </w:p>
    <w:p>
      <w:pPr>
        <w:spacing w:before="0" w:after="0" w:line="320" w:lineRule="exact"/>
      </w:pPr>
      <w:r>
        <w:rPr>
          <w:rFonts w:hint="eastAsia" w:ascii="Arial" w:hAnsi="Arial" w:eastAsia="微软雅黑" w:cs="Arial"/>
          <w:color w:val="1A1A1A"/>
          <w:sz w:val="21"/>
          <w:szCs w:val="21"/>
          <w:lang w:val="en-US" w:eastAsia="zh-CN"/>
        </w:rPr>
        <w:t xml:space="preserve">预防措施：</w:t>
      </w:r>
    </w:p>
    <w:p>
      <w:pPr>
        <w:spacing w:before="0" w:after="0" w:line="320" w:lineRule="exact"/>
      </w:pPr>
      <w:r>
        <w:rPr>
          <w:rFonts w:hint="eastAsia" w:ascii="Arial" w:hAnsi="Arial" w:eastAsia="微软雅黑" w:cs="Arial"/>
          <w:color w:val="1A1A1A"/>
          <w:sz w:val="21"/>
          <w:szCs w:val="21"/>
          <w:lang w:val="en-US" w:eastAsia="zh-CN"/>
        </w:rPr>
        <w:t xml:space="preserve">远离热源、火花、明火、热表面。使用不产生火花的工具作业。保持容器密闭。</w:t>
      </w:r>
    </w:p>
    <w:p>
      <w:pPr>
        <w:spacing w:before="0" w:after="0" w:line="320" w:lineRule="exact"/>
      </w:pPr>
      <w:r>
        <w:rPr>
          <w:rFonts w:hint="eastAsia" w:ascii="Arial" w:hAnsi="Arial" w:eastAsia="微软雅黑" w:cs="Arial"/>
          <w:color w:val="1A1A1A"/>
          <w:sz w:val="21"/>
          <w:szCs w:val="21"/>
          <w:lang w:val="en-US" w:eastAsia="zh-CN"/>
        </w:rPr>
        <w:t xml:space="preserve">采取防静电措施，容器和接收设备接地。</w:t>
      </w:r>
    </w:p>
    <w:p>
      <w:pPr>
        <w:spacing w:before="0" w:after="0" w:line="320" w:lineRule="exact"/>
      </w:pPr>
      <w:r>
        <w:rPr>
          <w:rFonts w:hint="eastAsia" w:ascii="Arial" w:hAnsi="Arial" w:eastAsia="微软雅黑" w:cs="Arial"/>
          <w:color w:val="1A1A1A"/>
          <w:sz w:val="21"/>
          <w:szCs w:val="21"/>
          <w:lang w:val="en-US" w:eastAsia="zh-CN"/>
        </w:rPr>
        <w:t xml:space="preserve">戴防护手套、防护眼罩、防护面具。</w:t>
      </w:r>
    </w:p>
    <w:p>
      <w:pPr>
        <w:spacing w:before="0" w:after="0" w:line="320" w:lineRule="exact"/>
      </w:pPr>
      <w:r>
        <w:rPr>
          <w:rFonts w:hint="eastAsia" w:ascii="Arial" w:hAnsi="Arial" w:eastAsia="微软雅黑" w:cs="Arial"/>
          <w:color w:val="1A1A1A"/>
          <w:sz w:val="21"/>
          <w:szCs w:val="21"/>
          <w:lang w:val="en-US" w:eastAsia="zh-CN"/>
        </w:rPr>
        <w:t xml:space="preserve">禁止排入环境。</w:t>
      </w:r>
    </w:p>
    <w:p>
      <w:pPr>
        <w:spacing w:before="0" w:after="0" w:line="320" w:lineRule="exact"/>
      </w:pPr>
      <w:r>
        <w:rPr>
          <w:rFonts w:hint="eastAsia" w:ascii="Arial" w:hAnsi="Arial" w:eastAsia="微软雅黑" w:cs="Arial"/>
          <w:color w:val="1A1A1A"/>
          <w:sz w:val="21"/>
          <w:szCs w:val="21"/>
          <w:lang w:val="en-US" w:eastAsia="zh-CN"/>
        </w:rPr>
        <w:t xml:space="preserve">事故响应：</w:t>
      </w:r>
    </w:p>
    <w:p>
      <w:pPr>
        <w:spacing w:before="0" w:after="0" w:line="320" w:lineRule="exact"/>
      </w:pPr>
      <w:r>
        <w:rPr>
          <w:rFonts w:hint="eastAsia" w:ascii="Arial" w:hAnsi="Arial" w:eastAsia="微软雅黑" w:cs="Arial"/>
          <w:color w:val="1A1A1A"/>
          <w:sz w:val="21"/>
          <w:szCs w:val="21"/>
          <w:lang w:val="en-US" w:eastAsia="zh-CN"/>
        </w:rPr>
        <w:t xml:space="preserve">若皮肤(或头发)沾染，立即脱去/脱掉所有沾染的衣服。用水清洗皮肤/淋浴。</w:t>
      </w:r>
    </w:p>
    <w:p>
      <w:pPr>
        <w:spacing w:before="0" w:after="0" w:line="320" w:lineRule="exact"/>
      </w:pPr>
      <w:r>
        <w:rPr>
          <w:rFonts w:hint="eastAsia" w:ascii="Arial" w:hAnsi="Arial" w:eastAsia="微软雅黑" w:cs="Arial"/>
          <w:color w:val="1A1A1A"/>
          <w:sz w:val="21"/>
          <w:szCs w:val="21"/>
          <w:lang w:val="en-US" w:eastAsia="zh-CN"/>
        </w:rPr>
        <w:t xml:space="preserve">若进入眼睛，用水小心冲洗几分钟。如戴隐型眼镜并可方便地取出，立即取出隐型眼镜，用水小心冲洗眼睛。</w:t>
      </w:r>
    </w:p>
    <w:p>
      <w:pPr>
        <w:spacing w:before="0" w:after="0" w:line="320" w:lineRule="exact"/>
      </w:pPr>
      <w:r>
        <w:rPr>
          <w:rFonts w:hint="eastAsia" w:ascii="Arial" w:hAnsi="Arial" w:eastAsia="微软雅黑" w:cs="Arial"/>
          <w:color w:val="1A1A1A"/>
          <w:sz w:val="21"/>
          <w:szCs w:val="21"/>
          <w:lang w:val="en-US" w:eastAsia="zh-CN"/>
        </w:rPr>
        <w:t xml:space="preserve">若不慎食入，催吐，并立即就医。</w:t>
      </w:r>
    </w:p>
    <w:p>
      <w:pPr>
        <w:spacing w:before="0" w:after="0" w:line="320" w:lineRule="exact"/>
      </w:pPr>
      <w:r>
        <w:rPr>
          <w:rFonts w:hint="eastAsia" w:ascii="Arial" w:hAnsi="Arial" w:eastAsia="微软雅黑" w:cs="Arial"/>
          <w:color w:val="1A1A1A"/>
          <w:sz w:val="21"/>
          <w:szCs w:val="21"/>
          <w:lang w:val="en-US" w:eastAsia="zh-CN"/>
        </w:rPr>
        <w:t xml:space="preserve">火灾时，用干粉、泡沫、二氧化碳灭火。</w:t>
      </w:r>
    </w:p>
    <w:p>
      <w:pPr>
        <w:spacing w:before="0" w:after="0" w:line="320" w:lineRule="exact"/>
      </w:pPr>
      <w:r>
        <w:rPr>
          <w:rFonts w:hint="eastAsia" w:ascii="Arial" w:hAnsi="Arial" w:eastAsia="微软雅黑" w:cs="Arial"/>
          <w:color w:val="1A1A1A"/>
          <w:sz w:val="21"/>
          <w:szCs w:val="21"/>
          <w:lang w:val="en-US" w:eastAsia="zh-CN"/>
        </w:rPr>
        <w:t xml:space="preserve">按照本地/地区/国家/国际规例处理内含物/容器。</w:t>
      </w:r>
    </w:p>
    <w:p>
      <w:pPr>
        <w:spacing w:before="0" w:after="0" w:line="320" w:lineRule="exact"/>
      </w:pPr>
      <w:r>
        <w:rPr>
          <w:rFonts w:hint="eastAsia" w:ascii="Arial" w:hAnsi="Arial" w:eastAsia="微软雅黑" w:cs="Arial"/>
          <w:color w:val="1A1A1A"/>
          <w:sz w:val="21"/>
          <w:szCs w:val="21"/>
          <w:lang w:val="en-US" w:eastAsia="zh-CN"/>
        </w:rPr>
        <w:t xml:space="preserve">其它危害：</w:t>
      </w:r>
    </w:p>
    <w:p>
      <w:pPr>
        <w:spacing w:before="0" w:after="0" w:line="320" w:lineRule="exact"/>
      </w:pPr>
      <w:r>
        <w:rPr>
          <w:rFonts w:hint="eastAsia" w:ascii="Arial" w:hAnsi="Arial" w:eastAsia="微软雅黑" w:cs="Arial"/>
          <w:color w:val="1A1A1A"/>
          <w:sz w:val="21"/>
          <w:szCs w:val="21"/>
          <w:lang w:val="en-US" w:eastAsia="zh-CN"/>
        </w:rPr>
        <w:t xml:space="preserve">PBT(残留性、生物浓缩性、毒性物质) 及 vPvB(高残留性、高生物浓缩性物质)评价结果</w:t>
      </w:r>
    </w:p>
    <w:p>
      <w:pPr>
        <w:spacing w:before="0" w:after="0" w:line="320" w:lineRule="exact"/>
      </w:pPr>
      <w:r>
        <w:rPr>
          <w:rFonts w:hint="eastAsia" w:ascii="Arial" w:hAnsi="Arial" w:eastAsia="微软雅黑" w:cs="Arial"/>
          <w:color w:val="1A1A1A"/>
          <w:sz w:val="21"/>
          <w:szCs w:val="21"/>
          <w:lang w:val="en-US" w:eastAsia="zh-CN"/>
        </w:rPr>
        <w:t xml:space="preserve">PBT(残留性、生物浓缩性、毒性物质)：不适用</w:t>
      </w:r>
    </w:p>
    <w:p>
      <w:pPr>
        <w:spacing w:before="0" w:after="0" w:line="320" w:lineRule="exact"/>
      </w:pPr>
      <w:r>
        <w:rPr>
          <w:rFonts w:hint="eastAsia" w:ascii="Arial" w:hAnsi="Arial" w:eastAsia="微软雅黑" w:cs="Arial"/>
          <w:color w:val="1A1A1A"/>
          <w:sz w:val="21"/>
          <w:szCs w:val="21"/>
          <w:lang w:val="en-US" w:eastAsia="zh-CN"/>
        </w:rPr>
        <w:t xml:space="preserve">vPvB(高残留性、高生物浓缩性物质)：不适用</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第三项　成分组成</w:t>
      </w:r>
    </w:p>
    <w:p>
      <w:pPr>
        <w:spacing w:before="0" w:after="0" w:line="320" w:lineRule="exact"/>
      </w:pPr>
      <w:r>
        <w:rPr>
          <w:rFonts w:hint="eastAsia" w:ascii="Arial" w:hAnsi="Arial" w:eastAsia="微软雅黑" w:cs="Arial"/>
          <w:color w:val="1A1A1A"/>
          <w:sz w:val="21"/>
          <w:szCs w:val="21"/>
          <w:lang w:val="en-US" w:eastAsia="zh-CN"/>
        </w:rPr>
        <w:t xml:space="preserve">化学特性：混合物</w:t>
      </w:r>
    </w:p>
    <w:p>
      <w:pPr>
        <w:spacing w:before="0" w:after="0" w:line="320" w:lineRule="exact"/>
      </w:pPr>
      <w:r>
        <w:rPr>
          <w:rFonts w:hint="eastAsia" w:ascii="Arial" w:hAnsi="Arial" w:eastAsia="微软雅黑" w:cs="Arial"/>
          <w:color w:val="1A1A1A"/>
          <w:sz w:val="21"/>
          <w:szCs w:val="21"/>
          <w:lang w:val="en-US" w:eastAsia="zh-CN"/>
        </w:rPr>
        <w:t xml:space="preserve">危险品含量组成如下：</w:t>
      </w:r>
    </w:p>
    <w:tbl>
      <w:tblPr>
        <w:tblW w:w="0" w:type="auto"/>
        <w:tblBorders>
          <w:top w:val="single" w:sz="4" w:color="E0E3E8"/>
          <w:left w:val="single" w:sz="4" w:color="E0E3E8"/>
          <w:bottom w:val="single" w:sz="4" w:color="E0E3E8"/>
          <w:right w:val="single" w:sz="4" w:color="E0E3E8"/>
          <w:insideH w:val="single" w:sz="4" w:color="E0E3E8"/>
          <w:insideV w:val="single" w:sz="4" w:color="E0E3E8"/>
        </w:tblBorders>
      </w:tblPr>
      <w:tr>
        <w:tc>
          <w:tcPr>
            <w:tcW w:w="40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化学名称</w:t>
            </w:r>
          </w:p>
        </w:tc>
        <w:tc>
          <w:tcPr>
            <w:tcW w:w="20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含量%</w:t>
            </w:r>
          </w:p>
        </w:tc>
        <w:tc>
          <w:tcPr>
            <w:tcW w:w="26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成分编号CAS</w:t>
            </w:r>
          </w:p>
        </w:tc>
      </w:tr>
      <w:tr>
        <w:tc>
          <w:tcPr>
            <w:tcW w:w="4000" w:type="dxa"/>
            <w:shd w:val="clear" w:fill="F5F7FA"/>
            <w:vAlign w:val="center"/>
          </w:tcPr>
          <w:p>
            <w:pPr>
              <w:spacing w:before="0" w:after="0" w:line="300" w:lineRule="atLeast"/>
            </w:pPr>
            <w:r>
              <w:rPr>
                <w:rFonts w:hint="eastAsia" w:ascii="Arial" w:hAnsi="Arial" w:eastAsia="Arial" w:cs="Arial"/>
                <w:b/>
                <w:color w:val="16314F"/>
                <w:sz w:val="20"/>
                <w:szCs w:val="20"/>
                <w:lang w:val="en-US" w:eastAsia="zh-CN"/>
              </w:rPr>
              <w:t xml:space="preserve">甲乙酮(丁酮)</w:t>
            </w:r>
          </w:p>
        </w:tc>
        <w:tc>
          <w:tcPr>
            <w:tcW w:w="2000" w:type="dxa"/>
            <w:vAlign w:val="center"/>
          </w:tcPr>
          <w:p>
            <w:pPr>
              <w:spacing w:before="0" w:after="0" w:line="300" w:lineRule="atLeast"/>
            </w:pPr>
            <w:r>
              <w:rPr>
                <w:rFonts w:hint="eastAsia" w:ascii="Arial" w:hAnsi="Arial" w:eastAsia="Arial" w:cs="Arial"/>
                <w:sz w:val="20"/>
                <w:szCs w:val="20"/>
                <w:lang w:val="en-US" w:eastAsia="zh-CN"/>
              </w:rPr>
              <w:t xml:space="preserve">63-70</w:t>
            </w:r>
          </w:p>
        </w:tc>
        <w:tc>
          <w:tcPr>
            <w:tcW w:w="2600" w:type="dxa"/>
            <w:vAlign w:val="center"/>
          </w:tcPr>
          <w:p>
            <w:pPr>
              <w:spacing w:before="0" w:after="0" w:line="300" w:lineRule="atLeast"/>
            </w:pPr>
            <w:r>
              <w:rPr>
                <w:rFonts w:hint="eastAsia" w:ascii="Arial" w:hAnsi="Arial" w:eastAsia="Arial" w:cs="Arial"/>
                <w:sz w:val="20"/>
                <w:szCs w:val="20"/>
                <w:lang w:val="en-US" w:eastAsia="zh-CN"/>
              </w:rPr>
              <w:t xml:space="preserve">78-93-3</w:t>
            </w:r>
          </w:p>
        </w:tc>
      </w:tr>
      <w:tr>
        <w:tc>
          <w:tcPr>
            <w:tcW w:w="4000" w:type="dxa"/>
            <w:shd w:val="clear" w:fill="F5F7FA"/>
            <w:vAlign w:val="center"/>
          </w:tcPr>
          <w:p>
            <w:pPr>
              <w:spacing w:before="0" w:after="0" w:line="300" w:lineRule="atLeast"/>
            </w:pPr>
            <w:r>
              <w:rPr>
                <w:rFonts w:hint="eastAsia" w:ascii="Arial" w:hAnsi="Arial" w:eastAsia="Arial" w:cs="Arial"/>
                <w:b/>
                <w:color w:val="16314F"/>
                <w:sz w:val="20"/>
                <w:szCs w:val="20"/>
                <w:lang w:val="en-US" w:eastAsia="zh-CN"/>
              </w:rPr>
              <w:t xml:space="preserve">亚克力树脂</w:t>
            </w:r>
          </w:p>
        </w:tc>
        <w:tc>
          <w:tcPr>
            <w:tcW w:w="2000" w:type="dxa"/>
            <w:vAlign w:val="center"/>
          </w:tcPr>
          <w:p>
            <w:pPr>
              <w:spacing w:before="0" w:after="0" w:line="300" w:lineRule="atLeast"/>
            </w:pPr>
            <w:r>
              <w:rPr>
                <w:rFonts w:hint="eastAsia" w:ascii="Arial" w:hAnsi="Arial" w:eastAsia="Arial" w:cs="Arial"/>
                <w:sz w:val="20"/>
                <w:szCs w:val="20"/>
                <w:lang w:val="en-US" w:eastAsia="zh-CN"/>
              </w:rPr>
              <w:t xml:space="preserve">10-12</w:t>
            </w:r>
          </w:p>
        </w:tc>
        <w:tc>
          <w:tcPr>
            <w:tcW w:w="2600" w:type="dxa"/>
            <w:vAlign w:val="center"/>
          </w:tcPr>
          <w:p>
            <w:pPr>
              <w:spacing w:before="0" w:after="0" w:line="300" w:lineRule="atLeast"/>
            </w:pPr>
            <w:r>
              <w:rPr>
                <w:rFonts w:hint="eastAsia" w:ascii="Arial" w:hAnsi="Arial" w:eastAsia="Arial" w:cs="Arial"/>
                <w:sz w:val="20"/>
                <w:szCs w:val="20"/>
                <w:lang w:val="en-US" w:eastAsia="zh-CN"/>
              </w:rPr>
              <w:t xml:space="preserve">9010-75-7</w:t>
            </w:r>
          </w:p>
        </w:tc>
      </w:tr>
      <w:tr>
        <w:tc>
          <w:tcPr>
            <w:tcW w:w="4000" w:type="dxa"/>
            <w:shd w:val="clear" w:fill="F5F7FA"/>
            <w:vAlign w:val="center"/>
          </w:tcPr>
          <w:p>
            <w:pPr>
              <w:spacing w:before="0" w:after="0" w:line="300" w:lineRule="atLeast"/>
            </w:pPr>
            <w:r>
              <w:rPr>
                <w:rFonts w:hint="eastAsia" w:ascii="Arial" w:hAnsi="Arial" w:eastAsia="Arial" w:cs="Arial"/>
                <w:b/>
                <w:color w:val="16314F"/>
                <w:sz w:val="20"/>
                <w:szCs w:val="20"/>
                <w:lang w:val="en-US" w:eastAsia="zh-CN"/>
              </w:rPr>
              <w:t xml:space="preserve">乙酸乙酯</w:t>
            </w:r>
          </w:p>
        </w:tc>
        <w:tc>
          <w:tcPr>
            <w:tcW w:w="2000" w:type="dxa"/>
            <w:vAlign w:val="center"/>
          </w:tcPr>
          <w:p>
            <w:pPr>
              <w:spacing w:before="0" w:after="0" w:line="300" w:lineRule="atLeast"/>
            </w:pPr>
            <w:r>
              <w:rPr>
                <w:rFonts w:hint="eastAsia" w:ascii="Arial" w:hAnsi="Arial" w:eastAsia="Arial" w:cs="Arial"/>
                <w:sz w:val="20"/>
                <w:szCs w:val="20"/>
                <w:lang w:val="en-US" w:eastAsia="zh-CN"/>
              </w:rPr>
              <w:t xml:space="preserve">15-25</w:t>
            </w:r>
          </w:p>
        </w:tc>
        <w:tc>
          <w:tcPr>
            <w:tcW w:w="2600" w:type="dxa"/>
            <w:vAlign w:val="center"/>
          </w:tcPr>
          <w:p>
            <w:pPr>
              <w:spacing w:before="0" w:after="0" w:line="300" w:lineRule="atLeast"/>
            </w:pPr>
            <w:r>
              <w:rPr>
                <w:rFonts w:hint="eastAsia" w:ascii="Arial" w:hAnsi="Arial" w:eastAsia="Arial" w:cs="Arial"/>
                <w:sz w:val="20"/>
                <w:szCs w:val="20"/>
                <w:lang w:val="en-US" w:eastAsia="zh-CN"/>
              </w:rPr>
              <w:t xml:space="preserve">141-78-6</w:t>
            </w:r>
          </w:p>
        </w:tc>
      </w:tr>
    </w:tbl>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第四项　急救措施</w:t>
      </w:r>
    </w:p>
    <w:p>
      <w:pPr>
        <w:spacing w:before="0" w:after="0" w:line="320" w:lineRule="exact"/>
      </w:pPr>
      <w:r>
        <w:rPr>
          <w:rFonts w:hint="eastAsia" w:ascii="Arial" w:hAnsi="Arial" w:eastAsia="微软雅黑" w:cs="Arial"/>
          <w:color w:val="1A1A1A"/>
          <w:sz w:val="21"/>
          <w:szCs w:val="21"/>
          <w:lang w:val="en-US" w:eastAsia="zh-CN"/>
        </w:rPr>
        <w:t xml:space="preserve">急救：</w:t>
      </w:r>
    </w:p>
    <w:p>
      <w:pPr>
        <w:spacing w:before="0" w:after="0" w:line="320" w:lineRule="exact"/>
      </w:pPr>
      <w:r>
        <w:rPr>
          <w:rFonts w:hint="eastAsia" w:ascii="Arial" w:hAnsi="Arial" w:eastAsia="微软雅黑" w:cs="Arial"/>
          <w:color w:val="1A1A1A"/>
          <w:sz w:val="21"/>
          <w:szCs w:val="21"/>
          <w:lang w:val="en-US" w:eastAsia="zh-CN"/>
        </w:rPr>
        <w:t xml:space="preserve">吸入过量后：将吸入人员安置至空气流通处并保持安静。万一病人不清醒时，请保持病人平稳的侧躺以便转移。</w:t>
      </w:r>
    </w:p>
    <w:p>
      <w:pPr>
        <w:spacing w:before="0" w:after="0" w:line="320" w:lineRule="exact"/>
      </w:pPr>
      <w:r>
        <w:rPr>
          <w:rFonts w:hint="eastAsia" w:ascii="Arial" w:hAnsi="Arial" w:eastAsia="微软雅黑" w:cs="Arial"/>
          <w:color w:val="1A1A1A"/>
          <w:sz w:val="21"/>
          <w:szCs w:val="21"/>
          <w:lang w:val="en-US" w:eastAsia="zh-CN"/>
        </w:rPr>
        <w:t xml:space="preserve">皮肤接触后：马上用水和肥皂进行彻底的冲洗。如皮肤疼痛立即就医。</w:t>
      </w:r>
    </w:p>
    <w:p>
      <w:pPr>
        <w:spacing w:before="0" w:after="0" w:line="320" w:lineRule="exact"/>
      </w:pPr>
      <w:r>
        <w:rPr>
          <w:rFonts w:hint="eastAsia" w:ascii="Arial" w:hAnsi="Arial" w:eastAsia="微软雅黑" w:cs="Arial"/>
          <w:color w:val="1A1A1A"/>
          <w:sz w:val="21"/>
          <w:szCs w:val="21"/>
          <w:lang w:val="en-US" w:eastAsia="zh-CN"/>
        </w:rPr>
        <w:t xml:space="preserve">眼睛接触后：在流动的水下冲洗眼睛。保护未受伤的眼睛。并立即就医。</w:t>
      </w:r>
    </w:p>
    <w:p>
      <w:pPr>
        <w:spacing w:before="0" w:after="0" w:line="320" w:lineRule="exact"/>
      </w:pPr>
      <w:r>
        <w:rPr>
          <w:rFonts w:hint="eastAsia" w:ascii="Arial" w:hAnsi="Arial" w:eastAsia="微软雅黑" w:cs="Arial"/>
          <w:color w:val="1A1A1A"/>
          <w:sz w:val="21"/>
          <w:szCs w:val="21"/>
          <w:lang w:val="en-US" w:eastAsia="zh-CN"/>
        </w:rPr>
        <w:t xml:space="preserve">误食后：催吐，立即就医</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第五项　消防措施</w:t>
      </w:r>
    </w:p>
    <w:p>
      <w:pPr>
        <w:spacing w:before="0" w:after="0" w:line="320" w:lineRule="exact"/>
      </w:pPr>
      <w:r>
        <w:rPr>
          <w:rFonts w:hint="eastAsia" w:ascii="Arial" w:hAnsi="Arial" w:eastAsia="微软雅黑" w:cs="Arial"/>
          <w:color w:val="1A1A1A"/>
          <w:sz w:val="21"/>
          <w:szCs w:val="21"/>
          <w:lang w:val="en-US" w:eastAsia="zh-CN"/>
        </w:rPr>
        <w:t xml:space="preserve">适用的灭火介质：</w:t>
      </w:r>
    </w:p>
    <w:p>
      <w:pPr>
        <w:spacing w:before="0" w:after="0" w:line="320" w:lineRule="exact"/>
      </w:pPr>
      <w:r>
        <w:rPr>
          <w:rFonts w:hint="eastAsia" w:ascii="Arial" w:hAnsi="Arial" w:eastAsia="微软雅黑" w:cs="Arial"/>
          <w:color w:val="1A1A1A"/>
          <w:sz w:val="21"/>
          <w:szCs w:val="21"/>
          <w:lang w:val="en-US" w:eastAsia="zh-CN"/>
        </w:rPr>
        <w:t xml:space="preserve">二氧化碳，干粉和喷水雾。火势较大时使用水喷雾或者耐酒精泡沫。</w:t>
      </w:r>
    </w:p>
    <w:p>
      <w:pPr>
        <w:spacing w:before="0" w:after="0" w:line="320" w:lineRule="exact"/>
      </w:pPr>
      <w:r>
        <w:rPr>
          <w:rFonts w:hint="eastAsia" w:ascii="Arial" w:hAnsi="Arial" w:eastAsia="微软雅黑" w:cs="Arial"/>
          <w:color w:val="1A1A1A"/>
          <w:sz w:val="21"/>
          <w:szCs w:val="21"/>
          <w:lang w:val="en-US" w:eastAsia="zh-CN"/>
        </w:rPr>
        <w:t xml:space="preserve">不适用的灭火方式：</w:t>
      </w:r>
    </w:p>
    <w:p>
      <w:pPr>
        <w:spacing w:before="0" w:after="0" w:line="320" w:lineRule="exact"/>
      </w:pPr>
      <w:r>
        <w:rPr>
          <w:rFonts w:hint="eastAsia" w:ascii="Arial" w:hAnsi="Arial" w:eastAsia="微软雅黑" w:cs="Arial"/>
          <w:color w:val="1A1A1A"/>
          <w:sz w:val="21"/>
          <w:szCs w:val="21"/>
          <w:lang w:val="en-US" w:eastAsia="zh-CN"/>
        </w:rPr>
        <w:t xml:space="preserve">喷射水流。</w:t>
      </w:r>
    </w:p>
    <w:p>
      <w:pPr>
        <w:spacing w:before="0" w:after="0" w:line="320" w:lineRule="exact"/>
      </w:pPr>
      <w:r>
        <w:rPr>
          <w:rFonts w:hint="eastAsia" w:ascii="Arial" w:hAnsi="Arial" w:eastAsia="微软雅黑" w:cs="Arial"/>
          <w:color w:val="1A1A1A"/>
          <w:sz w:val="21"/>
          <w:szCs w:val="21"/>
          <w:lang w:val="en-US" w:eastAsia="zh-CN"/>
        </w:rPr>
        <w:t xml:space="preserve">消防人员灭火时，需配带呼吸保护装置/防毒面具、消防服。</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第六项　泄露应急处理</w:t>
      </w:r>
    </w:p>
    <w:p>
      <w:pPr>
        <w:spacing w:before="0" w:after="0" w:line="320" w:lineRule="exact"/>
      </w:pPr>
      <w:r>
        <w:rPr>
          <w:rFonts w:hint="eastAsia" w:ascii="Arial" w:hAnsi="Arial" w:eastAsia="微软雅黑" w:cs="Arial"/>
          <w:color w:val="1A1A1A"/>
          <w:sz w:val="21"/>
          <w:szCs w:val="21"/>
          <w:lang w:val="en-US" w:eastAsia="zh-CN"/>
        </w:rPr>
        <w:t xml:space="preserve">人员的安全防护：</w:t>
      </w:r>
    </w:p>
    <w:p>
      <w:pPr>
        <w:spacing w:before="0" w:after="0" w:line="320" w:lineRule="exact"/>
      </w:pPr>
      <w:r>
        <w:rPr>
          <w:rFonts w:hint="eastAsia" w:ascii="Arial" w:hAnsi="Arial" w:eastAsia="微软雅黑" w:cs="Arial"/>
          <w:color w:val="1A1A1A"/>
          <w:sz w:val="21"/>
          <w:szCs w:val="21"/>
          <w:lang w:val="en-US" w:eastAsia="zh-CN"/>
        </w:rPr>
        <w:t xml:space="preserve">穿戴保护装备，让未受到保护的人员离开</w:t>
      </w:r>
    </w:p>
    <w:p>
      <w:pPr>
        <w:spacing w:before="0" w:after="0" w:line="320" w:lineRule="exact"/>
      </w:pPr>
      <w:r>
        <w:rPr>
          <w:rFonts w:hint="eastAsia" w:ascii="Arial" w:hAnsi="Arial" w:eastAsia="微软雅黑" w:cs="Arial"/>
          <w:color w:val="1A1A1A"/>
          <w:sz w:val="21"/>
          <w:szCs w:val="21"/>
          <w:lang w:val="en-US" w:eastAsia="zh-CN"/>
        </w:rPr>
        <w:t xml:space="preserve">环境保护措施：</w:t>
      </w:r>
    </w:p>
    <w:p>
      <w:pPr>
        <w:spacing w:before="0" w:after="0" w:line="320" w:lineRule="exact"/>
      </w:pPr>
      <w:r>
        <w:rPr>
          <w:rFonts w:hint="eastAsia" w:ascii="Arial" w:hAnsi="Arial" w:eastAsia="微软雅黑" w:cs="Arial"/>
          <w:color w:val="1A1A1A"/>
          <w:sz w:val="21"/>
          <w:szCs w:val="21"/>
          <w:lang w:val="en-US" w:eastAsia="zh-CN"/>
        </w:rPr>
        <w:t xml:space="preserve">不要让其进入下水管道/地下水</w:t>
      </w:r>
    </w:p>
    <w:p>
      <w:pPr>
        <w:spacing w:before="0" w:after="0" w:line="320" w:lineRule="exact"/>
      </w:pPr>
      <w:r>
        <w:rPr>
          <w:rFonts w:hint="eastAsia" w:ascii="Arial" w:hAnsi="Arial" w:eastAsia="微软雅黑" w:cs="Arial"/>
          <w:color w:val="1A1A1A"/>
          <w:sz w:val="21"/>
          <w:szCs w:val="21"/>
          <w:lang w:val="en-US" w:eastAsia="zh-CN"/>
        </w:rPr>
        <w:t xml:space="preserve">防止泄露/清洁的措施：</w:t>
      </w:r>
    </w:p>
    <w:p>
      <w:pPr>
        <w:spacing w:before="0" w:after="0" w:line="320" w:lineRule="exact"/>
      </w:pPr>
      <w:r>
        <w:rPr>
          <w:rFonts w:hint="eastAsia" w:ascii="Arial" w:hAnsi="Arial" w:eastAsia="微软雅黑" w:cs="Arial"/>
          <w:color w:val="1A1A1A"/>
          <w:sz w:val="21"/>
          <w:szCs w:val="21"/>
          <w:lang w:val="en-US" w:eastAsia="zh-CN"/>
        </w:rPr>
        <w:t xml:space="preserve">小量泄露：尽量将泄露液体收集到密闭容器中，用棉布、沙土等吸收、转移。</w:t>
      </w:r>
    </w:p>
    <w:p>
      <w:pPr>
        <w:spacing w:before="0" w:after="0" w:line="320" w:lineRule="exact"/>
      </w:pPr>
      <w:r>
        <w:rPr>
          <w:rFonts w:hint="eastAsia" w:ascii="Arial" w:hAnsi="Arial" w:eastAsia="微软雅黑" w:cs="Arial"/>
          <w:color w:val="1A1A1A"/>
          <w:sz w:val="21"/>
          <w:szCs w:val="21"/>
          <w:lang w:val="en-US" w:eastAsia="zh-CN"/>
        </w:rPr>
        <w:t xml:space="preserve">大量泄露：构筑围堤或挖坑收容。封闭排水管道。用液体粘合材料吸收 (沙粒，硅藻土，酸性粘合剂，通用粘合剂，锯屑)，回收或转移至废物处理场所。</w:t>
      </w:r>
    </w:p>
    <w:p>
      <w:pPr>
        <w:spacing w:before="0" w:after="0" w:line="320" w:lineRule="exact"/>
      </w:pPr>
      <w:r>
        <w:rPr>
          <w:rFonts w:hint="eastAsia" w:ascii="Arial" w:hAnsi="Arial" w:eastAsia="微软雅黑" w:cs="Arial"/>
          <w:color w:val="1A1A1A"/>
          <w:sz w:val="21"/>
          <w:szCs w:val="21"/>
          <w:lang w:val="en-US" w:eastAsia="zh-CN"/>
        </w:rPr>
        <w:t xml:space="preserve">消除所有点火源。</w:t>
      </w:r>
    </w:p>
    <w:p>
      <w:pPr>
        <w:spacing w:before="0" w:after="0" w:line="320" w:lineRule="exact"/>
      </w:pPr>
      <w:r>
        <w:rPr>
          <w:rFonts w:hint="eastAsia" w:ascii="Arial" w:hAnsi="Arial" w:eastAsia="微软雅黑" w:cs="Arial"/>
          <w:color w:val="1A1A1A"/>
          <w:sz w:val="21"/>
          <w:szCs w:val="21"/>
          <w:lang w:val="en-US" w:eastAsia="zh-CN"/>
        </w:rPr>
        <w:t xml:space="preserve">其它参照部分：</w:t>
      </w:r>
    </w:p>
    <w:p>
      <w:pPr>
        <w:spacing w:before="0" w:after="0" w:line="320" w:lineRule="exact"/>
      </w:pPr>
      <w:r>
        <w:rPr>
          <w:rFonts w:hint="eastAsia" w:ascii="Arial" w:hAnsi="Arial" w:eastAsia="微软雅黑" w:cs="Arial"/>
          <w:color w:val="1A1A1A"/>
          <w:sz w:val="21"/>
          <w:szCs w:val="21"/>
          <w:lang w:val="en-US" w:eastAsia="zh-CN"/>
        </w:rPr>
        <w:t xml:space="preserve">有关安全处理的资料请参阅第七项。</w:t>
      </w:r>
    </w:p>
    <w:p>
      <w:pPr>
        <w:spacing w:before="0" w:after="0" w:line="320" w:lineRule="exact"/>
      </w:pPr>
      <w:r>
        <w:rPr>
          <w:rFonts w:hint="eastAsia" w:ascii="Arial" w:hAnsi="Arial" w:eastAsia="微软雅黑" w:cs="Arial"/>
          <w:color w:val="1A1A1A"/>
          <w:sz w:val="21"/>
          <w:szCs w:val="21"/>
          <w:lang w:val="en-US" w:eastAsia="zh-CN"/>
        </w:rPr>
        <w:t xml:space="preserve">有关个人保护装备的资料请参阅第八项。</w:t>
      </w:r>
    </w:p>
    <w:p>
      <w:pPr>
        <w:spacing w:before="0" w:after="0" w:line="320" w:lineRule="exact"/>
      </w:pPr>
      <w:r>
        <w:rPr>
          <w:rFonts w:hint="eastAsia" w:ascii="Arial" w:hAnsi="Arial" w:eastAsia="微软雅黑" w:cs="Arial"/>
          <w:color w:val="1A1A1A"/>
          <w:sz w:val="21"/>
          <w:szCs w:val="21"/>
          <w:lang w:val="en-US" w:eastAsia="zh-CN"/>
        </w:rPr>
        <w:t xml:space="preserve">有关弃置的资料请参阅第十三项。</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第七项　操作处置与储存</w:t>
      </w:r>
    </w:p>
    <w:p>
      <w:pPr>
        <w:spacing w:before="0" w:after="0" w:line="320" w:lineRule="exact"/>
      </w:pPr>
      <w:r>
        <w:rPr>
          <w:rFonts w:hint="eastAsia" w:ascii="Arial" w:hAnsi="Arial" w:eastAsia="微软雅黑" w:cs="Arial"/>
          <w:color w:val="1A1A1A"/>
          <w:sz w:val="21"/>
          <w:szCs w:val="21"/>
          <w:lang w:val="en-US" w:eastAsia="zh-CN"/>
        </w:rPr>
        <w:t xml:space="preserve">操作处置：</w:t>
      </w:r>
    </w:p>
    <w:p>
      <w:pPr>
        <w:spacing w:before="0" w:after="0" w:line="320" w:lineRule="exact"/>
      </w:pPr>
      <w:r>
        <w:rPr>
          <w:rFonts w:hint="eastAsia" w:ascii="Arial" w:hAnsi="Arial" w:eastAsia="微软雅黑" w:cs="Arial"/>
          <w:color w:val="1A1A1A"/>
          <w:sz w:val="21"/>
          <w:szCs w:val="21"/>
          <w:lang w:val="en-US" w:eastAsia="zh-CN"/>
        </w:rPr>
        <w:t xml:space="preserve">确保工作间有良好的通风排气装置。</w:t>
      </w:r>
    </w:p>
    <w:p>
      <w:pPr>
        <w:spacing w:before="0" w:after="0" w:line="320" w:lineRule="exact"/>
      </w:pPr>
      <w:r>
        <w:rPr>
          <w:rFonts w:hint="eastAsia" w:ascii="Arial" w:hAnsi="Arial" w:eastAsia="微软雅黑" w:cs="Arial"/>
          <w:color w:val="1A1A1A"/>
          <w:sz w:val="21"/>
          <w:szCs w:val="21"/>
          <w:lang w:val="en-US" w:eastAsia="zh-CN"/>
        </w:rPr>
        <w:t xml:space="preserve">防静电。</w:t>
      </w:r>
    </w:p>
    <w:p>
      <w:pPr>
        <w:spacing w:before="0" w:after="0" w:line="320" w:lineRule="exact"/>
      </w:pPr>
      <w:r>
        <w:rPr>
          <w:rFonts w:hint="eastAsia" w:ascii="Arial" w:hAnsi="Arial" w:eastAsia="微软雅黑" w:cs="Arial"/>
          <w:color w:val="1A1A1A"/>
          <w:sz w:val="21"/>
          <w:szCs w:val="21"/>
          <w:lang w:val="en-US" w:eastAsia="zh-CN"/>
        </w:rPr>
        <w:t xml:space="preserve">使用不产生火花的工具作业。</w:t>
      </w:r>
    </w:p>
    <w:p>
      <w:pPr>
        <w:spacing w:before="0" w:after="0" w:line="320" w:lineRule="exact"/>
      </w:pPr>
      <w:r>
        <w:rPr>
          <w:rFonts w:hint="eastAsia" w:ascii="Arial" w:hAnsi="Arial" w:eastAsia="微软雅黑" w:cs="Arial"/>
          <w:color w:val="1A1A1A"/>
          <w:sz w:val="21"/>
          <w:szCs w:val="21"/>
          <w:lang w:val="en-US" w:eastAsia="zh-CN"/>
        </w:rPr>
        <w:t xml:space="preserve">提供呼吸保护装置。</w:t>
      </w:r>
    </w:p>
    <w:p>
      <w:pPr>
        <w:spacing w:before="0" w:after="0" w:line="320" w:lineRule="exact"/>
      </w:pPr>
      <w:r>
        <w:rPr>
          <w:rFonts w:hint="eastAsia" w:ascii="Arial" w:hAnsi="Arial" w:eastAsia="微软雅黑" w:cs="Arial"/>
          <w:color w:val="1A1A1A"/>
          <w:sz w:val="21"/>
          <w:szCs w:val="21"/>
          <w:lang w:val="en-US" w:eastAsia="zh-CN"/>
        </w:rPr>
        <w:t xml:space="preserve">远离火种、热源。</w:t>
      </w:r>
    </w:p>
    <w:p>
      <w:pPr>
        <w:spacing w:before="0" w:after="0" w:line="320" w:lineRule="exact"/>
      </w:pPr>
      <w:r>
        <w:rPr>
          <w:rFonts w:hint="eastAsia" w:ascii="Arial" w:hAnsi="Arial" w:eastAsia="微软雅黑" w:cs="Arial"/>
          <w:color w:val="1A1A1A"/>
          <w:sz w:val="21"/>
          <w:szCs w:val="21"/>
          <w:lang w:val="en-US" w:eastAsia="zh-CN"/>
        </w:rPr>
        <w:t xml:space="preserve">禁止在操作场所饮食。</w:t>
      </w:r>
    </w:p>
    <w:p>
      <w:pPr>
        <w:spacing w:before="0" w:after="0" w:line="320" w:lineRule="exact"/>
      </w:pPr>
      <w:r>
        <w:rPr>
          <w:rFonts w:hint="eastAsia" w:ascii="Arial" w:hAnsi="Arial" w:eastAsia="微软雅黑" w:cs="Arial"/>
          <w:color w:val="1A1A1A"/>
          <w:sz w:val="21"/>
          <w:szCs w:val="21"/>
          <w:lang w:val="en-US" w:eastAsia="zh-CN"/>
        </w:rPr>
        <w:t xml:space="preserve">配备相应数量和品种的消防器材及泄露应急处理设备。</w:t>
      </w:r>
    </w:p>
    <w:p>
      <w:pPr>
        <w:spacing w:before="0" w:after="0" w:line="320" w:lineRule="exact"/>
      </w:pPr>
      <w:r>
        <w:rPr>
          <w:rFonts w:hint="eastAsia" w:ascii="Arial" w:hAnsi="Arial" w:eastAsia="微软雅黑" w:cs="Arial"/>
          <w:color w:val="1A1A1A"/>
          <w:sz w:val="21"/>
          <w:szCs w:val="21"/>
          <w:lang w:val="en-US" w:eastAsia="zh-CN"/>
        </w:rPr>
        <w:t xml:space="preserve">储存：</w:t>
      </w:r>
    </w:p>
    <w:p>
      <w:pPr>
        <w:spacing w:before="0" w:after="0" w:line="320" w:lineRule="exact"/>
      </w:pPr>
      <w:r>
        <w:rPr>
          <w:rFonts w:hint="eastAsia" w:ascii="Arial" w:hAnsi="Arial" w:eastAsia="微软雅黑" w:cs="Arial"/>
          <w:color w:val="1A1A1A"/>
          <w:sz w:val="21"/>
          <w:szCs w:val="21"/>
          <w:lang w:val="en-US" w:eastAsia="zh-CN"/>
        </w:rPr>
        <w:t xml:space="preserve">地板需耐溶剂且密封。</w:t>
      </w:r>
    </w:p>
    <w:p>
      <w:pPr>
        <w:spacing w:before="0" w:after="0" w:line="320" w:lineRule="exact"/>
      </w:pPr>
      <w:r>
        <w:rPr>
          <w:rFonts w:hint="eastAsia" w:ascii="Arial" w:hAnsi="Arial" w:eastAsia="微软雅黑" w:cs="Arial"/>
          <w:color w:val="1A1A1A"/>
          <w:sz w:val="21"/>
          <w:szCs w:val="21"/>
          <w:lang w:val="en-US" w:eastAsia="zh-CN"/>
        </w:rPr>
        <w:t xml:space="preserve">储存在阴凉、干燥、通风的仓库内。</w:t>
      </w:r>
    </w:p>
    <w:p>
      <w:pPr>
        <w:spacing w:before="0" w:after="0" w:line="320" w:lineRule="exact"/>
      </w:pPr>
      <w:r>
        <w:rPr>
          <w:rFonts w:hint="eastAsia" w:ascii="Arial" w:hAnsi="Arial" w:eastAsia="微软雅黑" w:cs="Arial"/>
          <w:color w:val="1A1A1A"/>
          <w:sz w:val="21"/>
          <w:szCs w:val="21"/>
          <w:lang w:val="en-US" w:eastAsia="zh-CN"/>
        </w:rPr>
        <w:t xml:space="preserve">远离食品、火种。</w:t>
      </w:r>
    </w:p>
    <w:p>
      <w:pPr>
        <w:spacing w:before="0" w:after="0" w:line="320" w:lineRule="exact"/>
      </w:pPr>
      <w:r>
        <w:rPr>
          <w:rFonts w:hint="eastAsia" w:ascii="Arial" w:hAnsi="Arial" w:eastAsia="微软雅黑" w:cs="Arial"/>
          <w:color w:val="1A1A1A"/>
          <w:sz w:val="21"/>
          <w:szCs w:val="21"/>
          <w:lang w:val="en-US" w:eastAsia="zh-CN"/>
        </w:rPr>
        <w:t xml:space="preserve">库房安装避雷设备。</w:t>
      </w:r>
    </w:p>
    <w:p>
      <w:pPr>
        <w:spacing w:before="0" w:after="0" w:line="320" w:lineRule="exact"/>
      </w:pPr>
      <w:r>
        <w:rPr>
          <w:rFonts w:hint="eastAsia" w:ascii="Arial" w:hAnsi="Arial" w:eastAsia="微软雅黑" w:cs="Arial"/>
          <w:color w:val="1A1A1A"/>
          <w:sz w:val="21"/>
          <w:szCs w:val="21"/>
          <w:lang w:val="en-US" w:eastAsia="zh-CN"/>
        </w:rPr>
        <w:t xml:space="preserve">容器密封。</w:t>
      </w:r>
    </w:p>
    <w:p>
      <w:pPr>
        <w:spacing w:before="0" w:after="0" w:line="320" w:lineRule="exact"/>
      </w:pPr>
      <w:r>
        <w:rPr>
          <w:rFonts w:hint="eastAsia" w:ascii="Arial" w:hAnsi="Arial" w:eastAsia="微软雅黑" w:cs="Arial"/>
          <w:color w:val="1A1A1A"/>
          <w:sz w:val="21"/>
          <w:szCs w:val="21"/>
          <w:lang w:val="en-US" w:eastAsia="zh-CN"/>
        </w:rPr>
        <w:t xml:space="preserve">使用不产生火花的工具作业。</w:t>
      </w:r>
    </w:p>
    <w:p>
      <w:pPr>
        <w:spacing w:before="0" w:after="0" w:line="320" w:lineRule="exact"/>
      </w:pPr>
      <w:r>
        <w:rPr>
          <w:rFonts w:hint="eastAsia" w:ascii="Arial" w:hAnsi="Arial" w:eastAsia="微软雅黑" w:cs="Arial"/>
          <w:color w:val="1A1A1A"/>
          <w:sz w:val="21"/>
          <w:szCs w:val="21"/>
          <w:lang w:val="en-US" w:eastAsia="zh-CN"/>
        </w:rPr>
        <w:t xml:space="preserve">配备相应数量和品种的消防器材及泄露应急处理设备。</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第八项　接触控制和个体保护</w:t>
      </w:r>
    </w:p>
    <w:tbl>
      <w:tblPr>
        <w:tblW w:w="0" w:type="auto"/>
        <w:tblBorders>
          <w:top w:val="single" w:sz="4" w:color="E0E3E8"/>
          <w:left w:val="single" w:sz="4" w:color="E0E3E8"/>
          <w:bottom w:val="single" w:sz="4" w:color="E0E3E8"/>
          <w:right w:val="single" w:sz="4" w:color="E0E3E8"/>
          <w:insideH w:val="single" w:sz="4" w:color="E0E3E8"/>
          <w:insideV w:val="single" w:sz="4" w:color="E0E3E8"/>
        </w:tblBorders>
      </w:tblPr>
      <w:tr>
        <w:tc>
          <w:tcPr>
            <w:tcW w:w="18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组分名称</w:t>
            </w:r>
          </w:p>
        </w:tc>
        <w:tc>
          <w:tcPr>
            <w:tcW w:w="18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标准来源</w:t>
            </w:r>
          </w:p>
        </w:tc>
        <w:tc>
          <w:tcPr>
            <w:tcW w:w="13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类型</w:t>
            </w:r>
          </w:p>
        </w:tc>
        <w:tc>
          <w:tcPr>
            <w:tcW w:w="24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标准值</w:t>
            </w:r>
          </w:p>
        </w:tc>
        <w:tc>
          <w:tcPr>
            <w:tcW w:w="13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备注</w:t>
            </w:r>
          </w:p>
        </w:tc>
      </w:tr>
      <w:tr>
        <w:tc>
          <w:tcPr>
            <w:tcW w:w="1800" w:type="dxa"/>
            <w:shd w:val="clear" w:fill="F5F7FA"/>
            <w:vAlign w:val="center"/>
          </w:tcPr>
          <w:p>
            <w:pPr>
              <w:spacing w:before="0" w:after="0" w:line="300" w:lineRule="atLeast"/>
            </w:pPr>
            <w:r>
              <w:rPr>
                <w:rFonts w:hint="eastAsia" w:ascii="Arial" w:hAnsi="Arial" w:eastAsia="Arial" w:cs="Arial"/>
                <w:b/>
                <w:color w:val="16314F"/>
                <w:sz w:val="20"/>
                <w:szCs w:val="20"/>
                <w:lang w:val="en-US" w:eastAsia="zh-CN"/>
              </w:rPr>
              <w:t xml:space="preserve">甲乙酮</w:t>
            </w:r>
          </w:p>
        </w:tc>
        <w:tc>
          <w:tcPr>
            <w:tcW w:w="1800" w:type="dxa"/>
            <w:vAlign w:val="center"/>
          </w:tcPr>
          <w:p>
            <w:pPr>
              <w:spacing w:before="0" w:after="0" w:line="300" w:lineRule="atLeast"/>
            </w:pPr>
            <w:r>
              <w:rPr>
                <w:rFonts w:hint="eastAsia" w:ascii="Arial" w:hAnsi="Arial" w:eastAsia="Arial" w:cs="Arial"/>
                <w:sz w:val="20"/>
                <w:szCs w:val="20"/>
                <w:lang w:val="en-US" w:eastAsia="zh-CN"/>
              </w:rPr>
              <w:t xml:space="preserve">IOELV (EU)</w:t>
            </w:r>
          </w:p>
        </w:tc>
        <w:tc>
          <w:tcPr>
            <w:tcW w:w="1300" w:type="dxa"/>
            <w:vAlign w:val="center"/>
          </w:tcPr>
          <w:p>
            <w:pPr>
              <w:spacing w:before="0" w:after="0" w:line="300" w:lineRule="atLeast"/>
            </w:pPr>
            <w:r>
              <w:rPr>
                <w:rFonts w:hint="eastAsia" w:ascii="Arial" w:hAnsi="Arial" w:eastAsia="Arial" w:cs="Arial"/>
                <w:sz w:val="20"/>
                <w:szCs w:val="20"/>
                <w:lang w:val="en-US" w:eastAsia="zh-CN"/>
              </w:rPr>
              <w:t xml:space="preserve">短期值</w:t>
            </w:r>
          </w:p>
        </w:tc>
        <w:tc>
          <w:tcPr>
            <w:tcW w:w="2400" w:type="dxa"/>
            <w:vAlign w:val="center"/>
          </w:tcPr>
          <w:p>
            <w:pPr>
              <w:spacing w:before="0" w:after="0" w:line="300" w:lineRule="atLeast"/>
            </w:pPr>
            <w:r>
              <w:rPr>
                <w:rFonts w:hint="eastAsia" w:ascii="Arial" w:hAnsi="Arial" w:eastAsia="Arial" w:cs="Arial"/>
                <w:sz w:val="20"/>
                <w:szCs w:val="20"/>
                <w:lang w:val="en-US" w:eastAsia="zh-CN"/>
              </w:rPr>
              <w:t xml:space="preserve">900 mg/m³, / 300 ppm</w:t>
            </w:r>
          </w:p>
        </w:tc>
        <w:tc>
          <w:tcPr>
            <w:tcW w:w="1300" w:type="dxa"/>
            <w:vAlign w:val="center"/>
          </w:tcPr>
          <w:p>
            <w:pPr>
              <w:spacing w:before="0" w:after="0" w:line="300" w:lineRule="atLeast"/>
            </w:pPr>
          </w:p>
        </w:tc>
      </w:tr>
      <w:tr>
        <w:tc>
          <w:tcPr>
            <w:tcW w:w="1800" w:type="dxa"/>
            <w:shd w:val="clear" w:fill="F5F7FA"/>
            <w:vAlign w:val="center"/>
          </w:tcPr>
          <w:p>
            <w:pPr>
              <w:spacing w:before="0" w:after="0" w:line="300" w:lineRule="atLeast"/>
            </w:pPr>
          </w:p>
        </w:tc>
        <w:tc>
          <w:tcPr>
            <w:tcW w:w="1800" w:type="dxa"/>
            <w:vAlign w:val="center"/>
          </w:tcPr>
          <w:p>
            <w:pPr>
              <w:spacing w:before="0" w:after="0" w:line="300" w:lineRule="atLeast"/>
            </w:pPr>
          </w:p>
        </w:tc>
        <w:tc>
          <w:tcPr>
            <w:tcW w:w="1300" w:type="dxa"/>
            <w:vAlign w:val="center"/>
          </w:tcPr>
          <w:p>
            <w:pPr>
              <w:spacing w:before="0" w:after="0" w:line="300" w:lineRule="atLeast"/>
            </w:pPr>
            <w:r>
              <w:rPr>
                <w:rFonts w:hint="eastAsia" w:ascii="Arial" w:hAnsi="Arial" w:eastAsia="Arial" w:cs="Arial"/>
                <w:sz w:val="20"/>
                <w:szCs w:val="20"/>
                <w:lang w:val="en-US" w:eastAsia="zh-CN"/>
              </w:rPr>
              <w:t xml:space="preserve">长期值</w:t>
            </w:r>
          </w:p>
        </w:tc>
        <w:tc>
          <w:tcPr>
            <w:tcW w:w="2400" w:type="dxa"/>
            <w:vAlign w:val="center"/>
          </w:tcPr>
          <w:p>
            <w:pPr>
              <w:spacing w:before="0" w:after="0" w:line="300" w:lineRule="atLeast"/>
            </w:pPr>
            <w:r>
              <w:rPr>
                <w:rFonts w:hint="eastAsia" w:ascii="Arial" w:hAnsi="Arial" w:eastAsia="Arial" w:cs="Arial"/>
                <w:sz w:val="20"/>
                <w:szCs w:val="20"/>
                <w:lang w:val="en-US" w:eastAsia="zh-CN"/>
              </w:rPr>
              <w:t xml:space="preserve">600 mg/m³, / 200 ppm</w:t>
            </w:r>
          </w:p>
        </w:tc>
        <w:tc>
          <w:tcPr>
            <w:tcW w:w="1300" w:type="dxa"/>
            <w:vAlign w:val="center"/>
          </w:tcPr>
          <w:p>
            <w:pPr>
              <w:spacing w:before="0" w:after="0" w:line="300" w:lineRule="atLeast"/>
            </w:pPr>
          </w:p>
        </w:tc>
      </w:tr>
      <w:tr>
        <w:tc>
          <w:tcPr>
            <w:tcW w:w="1800" w:type="dxa"/>
            <w:shd w:val="clear" w:fill="F5F7FA"/>
            <w:vAlign w:val="center"/>
          </w:tcPr>
          <w:p>
            <w:pPr>
              <w:spacing w:before="0" w:after="0" w:line="300" w:lineRule="atLeast"/>
            </w:pPr>
            <w:r>
              <w:rPr>
                <w:rFonts w:hint="eastAsia" w:ascii="Arial" w:hAnsi="Arial" w:eastAsia="Arial" w:cs="Arial"/>
                <w:b/>
                <w:color w:val="16314F"/>
                <w:sz w:val="20"/>
                <w:szCs w:val="20"/>
                <w:lang w:val="en-US" w:eastAsia="zh-CN"/>
              </w:rPr>
              <w:t xml:space="preserve">乙酸乙酯</w:t>
            </w:r>
          </w:p>
        </w:tc>
        <w:tc>
          <w:tcPr>
            <w:tcW w:w="1800" w:type="dxa"/>
            <w:vAlign w:val="center"/>
          </w:tcPr>
          <w:p>
            <w:pPr>
              <w:spacing w:before="0" w:after="0" w:line="300" w:lineRule="atLeast"/>
            </w:pPr>
            <w:r>
              <w:rPr>
                <w:rFonts w:hint="eastAsia" w:ascii="Arial" w:hAnsi="Arial" w:eastAsia="Arial" w:cs="Arial"/>
                <w:sz w:val="20"/>
                <w:szCs w:val="20"/>
                <w:lang w:val="en-US" w:eastAsia="zh-CN"/>
              </w:rPr>
              <w:t xml:space="preserve">IOELV (EU)</w:t>
            </w:r>
          </w:p>
        </w:tc>
        <w:tc>
          <w:tcPr>
            <w:tcW w:w="1300" w:type="dxa"/>
            <w:vAlign w:val="center"/>
          </w:tcPr>
          <w:p>
            <w:pPr>
              <w:spacing w:before="0" w:after="0" w:line="300" w:lineRule="atLeast"/>
            </w:pPr>
            <w:r>
              <w:rPr>
                <w:rFonts w:hint="eastAsia" w:ascii="Arial" w:hAnsi="Arial" w:eastAsia="Arial" w:cs="Arial"/>
                <w:sz w:val="20"/>
                <w:szCs w:val="20"/>
                <w:lang w:val="en-US" w:eastAsia="zh-CN"/>
              </w:rPr>
              <w:t xml:space="preserve">短期值</w:t>
            </w:r>
          </w:p>
        </w:tc>
        <w:tc>
          <w:tcPr>
            <w:tcW w:w="2400" w:type="dxa"/>
            <w:vAlign w:val="center"/>
          </w:tcPr>
          <w:p>
            <w:pPr>
              <w:spacing w:before="0" w:after="0" w:line="300" w:lineRule="atLeast"/>
            </w:pPr>
            <w:r>
              <w:rPr>
                <w:rFonts w:hint="eastAsia" w:ascii="Arial" w:hAnsi="Arial" w:eastAsia="Arial" w:cs="Arial"/>
                <w:sz w:val="20"/>
                <w:szCs w:val="20"/>
                <w:lang w:val="en-US" w:eastAsia="zh-CN"/>
              </w:rPr>
              <w:t xml:space="preserve">208 mg/m³, / 50 ppm</w:t>
            </w:r>
          </w:p>
        </w:tc>
        <w:tc>
          <w:tcPr>
            <w:tcW w:w="1300" w:type="dxa"/>
            <w:vAlign w:val="center"/>
          </w:tcPr>
          <w:p>
            <w:pPr>
              <w:spacing w:before="0" w:after="0" w:line="300" w:lineRule="atLeast"/>
            </w:pPr>
          </w:p>
        </w:tc>
      </w:tr>
      <w:tr>
        <w:tc>
          <w:tcPr>
            <w:tcW w:w="1800" w:type="dxa"/>
            <w:shd w:val="clear" w:fill="F5F7FA"/>
            <w:vAlign w:val="center"/>
          </w:tcPr>
          <w:p>
            <w:pPr>
              <w:spacing w:before="0" w:after="0" w:line="300" w:lineRule="atLeast"/>
            </w:pPr>
          </w:p>
        </w:tc>
        <w:tc>
          <w:tcPr>
            <w:tcW w:w="1800" w:type="dxa"/>
            <w:vAlign w:val="center"/>
          </w:tcPr>
          <w:p>
            <w:pPr>
              <w:spacing w:before="0" w:after="0" w:line="300" w:lineRule="atLeast"/>
            </w:pPr>
          </w:p>
        </w:tc>
        <w:tc>
          <w:tcPr>
            <w:tcW w:w="1300" w:type="dxa"/>
            <w:vAlign w:val="center"/>
          </w:tcPr>
          <w:p>
            <w:pPr>
              <w:spacing w:before="0" w:after="0" w:line="300" w:lineRule="atLeast"/>
            </w:pPr>
            <w:r>
              <w:rPr>
                <w:rFonts w:hint="eastAsia" w:ascii="Arial" w:hAnsi="Arial" w:eastAsia="Arial" w:cs="Arial"/>
                <w:sz w:val="20"/>
                <w:szCs w:val="20"/>
                <w:lang w:val="en-US" w:eastAsia="zh-CN"/>
              </w:rPr>
              <w:t xml:space="preserve">长期值</w:t>
            </w:r>
          </w:p>
        </w:tc>
        <w:tc>
          <w:tcPr>
            <w:tcW w:w="2400" w:type="dxa"/>
            <w:vAlign w:val="center"/>
          </w:tcPr>
          <w:p>
            <w:pPr>
              <w:spacing w:before="0" w:after="0" w:line="300" w:lineRule="atLeast"/>
            </w:pPr>
            <w:r>
              <w:rPr>
                <w:rFonts w:hint="eastAsia" w:ascii="Arial" w:hAnsi="Arial" w:eastAsia="Arial" w:cs="Arial"/>
                <w:sz w:val="20"/>
                <w:szCs w:val="20"/>
                <w:lang w:val="en-US" w:eastAsia="zh-CN"/>
              </w:rPr>
              <w:t xml:space="preserve">83 mg/m³, / 20 ppm</w:t>
            </w:r>
          </w:p>
        </w:tc>
        <w:tc>
          <w:tcPr>
            <w:tcW w:w="1300" w:type="dxa"/>
            <w:vAlign w:val="center"/>
          </w:tcPr>
          <w:p>
            <w:pPr>
              <w:spacing w:before="0" w:after="0" w:line="300" w:lineRule="atLeast"/>
            </w:pPr>
          </w:p>
        </w:tc>
      </w:tr>
    </w:tbl>
    <w:p>
      <w:pPr>
        <w:spacing w:before="0" w:after="0" w:line="320" w:lineRule="exact"/>
      </w:pPr>
      <w:r>
        <w:rPr>
          <w:rFonts w:hint="eastAsia" w:ascii="Arial" w:hAnsi="Arial" w:eastAsia="微软雅黑" w:cs="Arial"/>
          <w:color w:val="1A1A1A"/>
          <w:sz w:val="21"/>
          <w:szCs w:val="21"/>
          <w:lang w:val="en-US" w:eastAsia="zh-CN"/>
        </w:rPr>
        <w:t xml:space="preserve">最高容许浓度：未确定的</w:t>
      </w:r>
    </w:p>
    <w:p>
      <w:pPr>
        <w:spacing w:before="0" w:after="0" w:line="320" w:lineRule="exact"/>
      </w:pPr>
      <w:r>
        <w:rPr>
          <w:rFonts w:hint="eastAsia" w:ascii="Arial" w:hAnsi="Arial" w:eastAsia="微软雅黑" w:cs="Arial"/>
          <w:color w:val="1A1A1A"/>
          <w:sz w:val="21"/>
          <w:szCs w:val="21"/>
          <w:lang w:val="en-US" w:eastAsia="zh-CN"/>
        </w:rPr>
        <w:t xml:space="preserve">工程控制：车间内加强通风，工作需穿戴防护用品。</w:t>
      </w:r>
    </w:p>
    <w:p>
      <w:pPr>
        <w:spacing w:before="0" w:after="0" w:line="320" w:lineRule="exact"/>
      </w:pPr>
      <w:r>
        <w:rPr>
          <w:rFonts w:hint="eastAsia" w:ascii="Arial" w:hAnsi="Arial" w:eastAsia="微软雅黑" w:cs="Arial"/>
          <w:color w:val="1A1A1A"/>
          <w:sz w:val="21"/>
          <w:szCs w:val="21"/>
          <w:lang w:val="en-US" w:eastAsia="zh-CN"/>
        </w:rPr>
        <w:t xml:space="preserve">个人防护装备：</w:t>
      </w:r>
    </w:p>
    <w:p>
      <w:pPr>
        <w:spacing w:before="0" w:after="0" w:line="320" w:lineRule="exact"/>
      </w:pPr>
      <w:r>
        <w:rPr>
          <w:rFonts w:hint="eastAsia" w:ascii="Arial" w:hAnsi="Arial" w:eastAsia="微软雅黑" w:cs="Arial"/>
          <w:color w:val="1A1A1A"/>
          <w:sz w:val="21"/>
          <w:szCs w:val="21"/>
          <w:lang w:val="en-US" w:eastAsia="zh-CN"/>
        </w:rPr>
        <w:t xml:space="preserve">- 一般保护和卫生措施：</w:t>
      </w:r>
    </w:p>
    <w:p>
      <w:pPr>
        <w:spacing w:before="0" w:after="0" w:line="320" w:lineRule="exact"/>
      </w:pPr>
      <w:r>
        <w:rPr>
          <w:rFonts w:hint="eastAsia" w:ascii="Arial" w:hAnsi="Arial" w:eastAsia="微软雅黑" w:cs="Arial"/>
          <w:color w:val="1A1A1A"/>
          <w:sz w:val="21"/>
          <w:szCs w:val="21"/>
          <w:lang w:val="en-US" w:eastAsia="zh-CN"/>
        </w:rPr>
        <w:t xml:space="preserve">远离食品，饮料和饲料。</w:t>
      </w:r>
    </w:p>
    <w:p>
      <w:pPr>
        <w:spacing w:before="0" w:after="0" w:line="320" w:lineRule="exact"/>
      </w:pPr>
      <w:r>
        <w:rPr>
          <w:rFonts w:hint="eastAsia" w:ascii="Arial" w:hAnsi="Arial" w:eastAsia="微软雅黑" w:cs="Arial"/>
          <w:color w:val="1A1A1A"/>
          <w:sz w:val="21"/>
          <w:szCs w:val="21"/>
          <w:lang w:val="en-US" w:eastAsia="zh-CN"/>
        </w:rPr>
        <w:t xml:space="preserve">立即除去弄脏和被污染的衣物。</w:t>
      </w:r>
    </w:p>
    <w:p>
      <w:pPr>
        <w:spacing w:before="0" w:after="0" w:line="320" w:lineRule="exact"/>
      </w:pPr>
      <w:r>
        <w:rPr>
          <w:rFonts w:hint="eastAsia" w:ascii="Arial" w:hAnsi="Arial" w:eastAsia="微软雅黑" w:cs="Arial"/>
          <w:color w:val="1A1A1A"/>
          <w:sz w:val="21"/>
          <w:szCs w:val="21"/>
          <w:lang w:val="en-US" w:eastAsia="zh-CN"/>
        </w:rPr>
        <w:t xml:space="preserve">休息前和工作完成后清洗双手。</w:t>
      </w:r>
    </w:p>
    <w:p>
      <w:pPr>
        <w:spacing w:before="0" w:after="0" w:line="320" w:lineRule="exact"/>
      </w:pPr>
      <w:r>
        <w:rPr>
          <w:rFonts w:hint="eastAsia" w:ascii="Arial" w:hAnsi="Arial" w:eastAsia="微软雅黑" w:cs="Arial"/>
          <w:color w:val="1A1A1A"/>
          <w:sz w:val="21"/>
          <w:szCs w:val="21"/>
          <w:lang w:val="en-US" w:eastAsia="zh-CN"/>
        </w:rPr>
        <w:t xml:space="preserve">单独放置防护用品。避免眼睛和皮肤接触原料。</w:t>
      </w:r>
    </w:p>
    <w:p>
      <w:pPr>
        <w:spacing w:before="0" w:after="0" w:line="320" w:lineRule="exact"/>
      </w:pPr>
      <w:r>
        <w:rPr>
          <w:rFonts w:hint="eastAsia" w:ascii="Arial" w:hAnsi="Arial" w:eastAsia="微软雅黑" w:cs="Arial"/>
          <w:color w:val="1A1A1A"/>
          <w:sz w:val="21"/>
          <w:szCs w:val="21"/>
          <w:lang w:val="en-US" w:eastAsia="zh-CN"/>
        </w:rPr>
        <w:t xml:space="preserve">- 呼吸系统防护：</w:t>
      </w:r>
    </w:p>
    <w:p>
      <w:pPr>
        <w:spacing w:before="0" w:after="0" w:line="320" w:lineRule="exact"/>
      </w:pPr>
      <w:r>
        <w:rPr>
          <w:rFonts w:hint="eastAsia" w:ascii="Arial" w:hAnsi="Arial" w:eastAsia="微软雅黑" w:cs="Arial"/>
          <w:color w:val="1A1A1A"/>
          <w:sz w:val="21"/>
          <w:szCs w:val="21"/>
          <w:lang w:val="en-US" w:eastAsia="zh-CN"/>
        </w:rPr>
        <w:t xml:space="preserve">短时间内接触可使用过滤式防护装置。</w:t>
      </w:r>
    </w:p>
    <w:p>
      <w:pPr>
        <w:spacing w:before="0" w:after="0" w:line="320" w:lineRule="exact"/>
      </w:pPr>
      <w:r>
        <w:rPr>
          <w:rFonts w:hint="eastAsia" w:ascii="Arial" w:hAnsi="Arial" w:eastAsia="微软雅黑" w:cs="Arial"/>
          <w:color w:val="1A1A1A"/>
          <w:sz w:val="21"/>
          <w:szCs w:val="21"/>
          <w:lang w:val="en-US" w:eastAsia="zh-CN"/>
        </w:rPr>
        <w:t xml:space="preserve">如果长时间深度接触则需配戴独立的呼吸保护装置。</w:t>
      </w:r>
    </w:p>
    <w:p>
      <w:pPr>
        <w:spacing w:before="0" w:after="0" w:line="320" w:lineRule="exact"/>
      </w:pPr>
      <w:r>
        <w:rPr>
          <w:rFonts w:hint="eastAsia" w:ascii="Arial" w:hAnsi="Arial" w:eastAsia="微软雅黑" w:cs="Arial"/>
          <w:color w:val="1A1A1A"/>
          <w:sz w:val="21"/>
          <w:szCs w:val="21"/>
          <w:lang w:val="en-US" w:eastAsia="zh-CN"/>
        </w:rPr>
        <w:t xml:space="preserve">- 眼面保护：</w:t>
      </w:r>
    </w:p>
    <w:p>
      <w:pPr>
        <w:spacing w:before="0" w:after="0" w:line="320" w:lineRule="exact"/>
      </w:pPr>
      <w:r>
        <w:rPr>
          <w:rFonts w:hint="eastAsia" w:ascii="Arial" w:hAnsi="Arial" w:eastAsia="微软雅黑" w:cs="Arial"/>
          <w:color w:val="1A1A1A"/>
          <w:sz w:val="21"/>
          <w:szCs w:val="21"/>
          <w:lang w:val="en-US" w:eastAsia="zh-CN"/>
        </w:rPr>
        <w:t xml:space="preserve">戴化学安全防护眼镜</w:t>
      </w:r>
    </w:p>
    <w:p>
      <w:pPr>
        <w:spacing w:before="0" w:after="0" w:line="320" w:lineRule="exact"/>
      </w:pPr>
      <w:r>
        <w:rPr>
          <w:rFonts w:hint="eastAsia" w:ascii="Arial" w:hAnsi="Arial" w:eastAsia="微软雅黑" w:cs="Arial"/>
          <w:color w:val="1A1A1A"/>
          <w:sz w:val="21"/>
          <w:szCs w:val="21"/>
          <w:lang w:val="en-US" w:eastAsia="zh-CN"/>
        </w:rPr>
        <w:t xml:space="preserve">- 手的防护：</w:t>
      </w:r>
    </w:p>
    <w:p>
      <w:pPr>
        <w:spacing w:before="0" w:after="0" w:line="320" w:lineRule="exact"/>
      </w:pPr>
      <w:r>
        <w:rPr>
          <w:rFonts w:hint="eastAsia" w:ascii="Arial" w:hAnsi="Arial" w:eastAsia="微软雅黑" w:cs="Arial"/>
          <w:color w:val="1A1A1A"/>
          <w:sz w:val="21"/>
          <w:szCs w:val="21"/>
          <w:lang w:val="en-US" w:eastAsia="zh-CN"/>
        </w:rPr>
        <w:t xml:space="preserve">戴手套。材料需具有无渗透性，并且要耐化学溶剂和腐蚀的手套。</w:t>
      </w:r>
    </w:p>
    <w:p>
      <w:pPr>
        <w:spacing w:before="0" w:after="0" w:line="320" w:lineRule="exact"/>
      </w:pPr>
      <w:r>
        <w:rPr>
          <w:rFonts w:hint="eastAsia" w:ascii="Arial" w:hAnsi="Arial" w:eastAsia="微软雅黑" w:cs="Arial"/>
          <w:color w:val="1A1A1A"/>
          <w:sz w:val="21"/>
          <w:szCs w:val="21"/>
          <w:lang w:val="en-US" w:eastAsia="zh-CN"/>
        </w:rPr>
        <w:t xml:space="preserve">因为该产品是由很多材料配制而成，手套材料的抵抗力并不可预计。所以，必须在使用之前进行检查。</w:t>
      </w:r>
    </w:p>
    <w:p>
      <w:pPr>
        <w:spacing w:before="0" w:after="0" w:line="320" w:lineRule="exact"/>
      </w:pPr>
      <w:r>
        <w:rPr>
          <w:rFonts w:hint="eastAsia" w:ascii="Arial" w:hAnsi="Arial" w:eastAsia="微软雅黑" w:cs="Arial"/>
          <w:color w:val="1A1A1A"/>
          <w:sz w:val="21"/>
          <w:szCs w:val="21"/>
          <w:lang w:val="en-US" w:eastAsia="zh-CN"/>
        </w:rPr>
        <w:t xml:space="preserve">- 皮肤和身体防护：</w:t>
      </w:r>
    </w:p>
    <w:p>
      <w:pPr>
        <w:spacing w:before="0" w:after="0" w:line="320" w:lineRule="exact"/>
      </w:pPr>
      <w:r>
        <w:rPr>
          <w:rFonts w:hint="eastAsia" w:ascii="Arial" w:hAnsi="Arial" w:eastAsia="微软雅黑" w:cs="Arial"/>
          <w:color w:val="1A1A1A"/>
          <w:sz w:val="21"/>
          <w:szCs w:val="21"/>
          <w:lang w:val="en-US" w:eastAsia="zh-CN"/>
        </w:rPr>
        <w:t xml:space="preserve">穿着耐溶剂的保护性工作服。</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第九项　物理及化学特性</w:t>
      </w:r>
    </w:p>
    <w:p>
      <w:pPr>
        <w:spacing w:before="0" w:after="0" w:line="320" w:lineRule="exact"/>
      </w:pPr>
      <w:r>
        <w:rPr>
          <w:rFonts w:hint="eastAsia" w:ascii="Arial" w:hAnsi="Arial" w:eastAsia="微软雅黑" w:cs="Arial"/>
          <w:color w:val="1A1A1A"/>
          <w:sz w:val="21"/>
          <w:szCs w:val="21"/>
          <w:lang w:val="en-US" w:eastAsia="zh-CN"/>
        </w:rPr>
        <w:t xml:space="preserve">物质状态：　液体</w:t>
      </w:r>
    </w:p>
    <w:p>
      <w:pPr>
        <w:spacing w:before="0" w:after="0" w:line="320" w:lineRule="exact"/>
      </w:pPr>
      <w:r>
        <w:rPr>
          <w:rFonts w:hint="eastAsia" w:ascii="Arial" w:hAnsi="Arial" w:eastAsia="微软雅黑" w:cs="Arial"/>
          <w:color w:val="1A1A1A"/>
          <w:sz w:val="21"/>
          <w:szCs w:val="21"/>
          <w:lang w:val="en-US" w:eastAsia="zh-CN"/>
        </w:rPr>
        <w:t xml:space="preserve">颜色：　透明</w:t>
      </w:r>
    </w:p>
    <w:p>
      <w:pPr>
        <w:spacing w:before="0" w:after="0" w:line="320" w:lineRule="exact"/>
      </w:pPr>
      <w:r>
        <w:rPr>
          <w:rFonts w:hint="eastAsia" w:ascii="Arial" w:hAnsi="Arial" w:eastAsia="微软雅黑" w:cs="Arial"/>
          <w:color w:val="1A1A1A"/>
          <w:sz w:val="21"/>
          <w:szCs w:val="21"/>
          <w:lang w:val="en-US" w:eastAsia="zh-CN"/>
        </w:rPr>
        <w:t xml:space="preserve">气味：　溶剂特征气味</w:t>
      </w:r>
    </w:p>
    <w:p>
      <w:pPr>
        <w:spacing w:before="0" w:after="0" w:line="320" w:lineRule="exact"/>
      </w:pPr>
      <w:r>
        <w:rPr>
          <w:rFonts w:hint="eastAsia" w:ascii="Arial" w:hAnsi="Arial" w:eastAsia="微软雅黑" w:cs="Arial"/>
          <w:color w:val="1A1A1A"/>
          <w:sz w:val="21"/>
          <w:szCs w:val="21"/>
          <w:lang w:val="en-US" w:eastAsia="zh-CN"/>
        </w:rPr>
        <w:t xml:space="preserve">熔点：　未确定的</w:t>
      </w:r>
    </w:p>
    <w:p>
      <w:pPr>
        <w:spacing w:before="0" w:after="0" w:line="320" w:lineRule="exact"/>
      </w:pPr>
      <w:r>
        <w:rPr>
          <w:rFonts w:hint="eastAsia" w:ascii="Arial" w:hAnsi="Arial" w:eastAsia="微软雅黑" w:cs="Arial"/>
          <w:color w:val="1A1A1A"/>
          <w:sz w:val="21"/>
          <w:szCs w:val="21"/>
          <w:lang w:val="en-US" w:eastAsia="zh-CN"/>
        </w:rPr>
        <w:t xml:space="preserve">沸点：　79℃</w:t>
      </w:r>
    </w:p>
    <w:p>
      <w:pPr>
        <w:spacing w:before="0" w:after="0" w:line="320" w:lineRule="exact"/>
      </w:pPr>
      <w:r>
        <w:rPr>
          <w:rFonts w:hint="eastAsia" w:ascii="Arial" w:hAnsi="Arial" w:eastAsia="微软雅黑" w:cs="Arial"/>
          <w:color w:val="1A1A1A"/>
          <w:sz w:val="21"/>
          <w:szCs w:val="21"/>
          <w:lang w:val="en-US" w:eastAsia="zh-CN"/>
        </w:rPr>
        <w:t xml:space="preserve">闪点：　-4℃</w:t>
      </w:r>
    </w:p>
    <w:p>
      <w:pPr>
        <w:spacing w:before="0" w:after="0" w:line="320" w:lineRule="exact"/>
      </w:pPr>
      <w:r>
        <w:rPr>
          <w:rFonts w:hint="eastAsia" w:ascii="Arial" w:hAnsi="Arial" w:eastAsia="微软雅黑" w:cs="Arial"/>
          <w:color w:val="1A1A1A"/>
          <w:sz w:val="21"/>
          <w:szCs w:val="21"/>
          <w:lang w:val="en-US" w:eastAsia="zh-CN"/>
        </w:rPr>
        <w:t xml:space="preserve">点燃温度：　440℃</w:t>
      </w:r>
    </w:p>
    <w:p>
      <w:pPr>
        <w:spacing w:before="0" w:after="0" w:line="320" w:lineRule="exact"/>
      </w:pPr>
      <w:r>
        <w:rPr>
          <w:rFonts w:hint="eastAsia" w:ascii="Arial" w:hAnsi="Arial" w:eastAsia="微软雅黑" w:cs="Arial"/>
          <w:color w:val="1A1A1A"/>
          <w:sz w:val="21"/>
          <w:szCs w:val="21"/>
          <w:lang w:val="en-US" w:eastAsia="zh-CN"/>
        </w:rPr>
        <w:t xml:space="preserve">自燃：　产品无自燃</w:t>
      </w:r>
    </w:p>
    <w:p>
      <w:pPr>
        <w:spacing w:before="0" w:after="0" w:line="320" w:lineRule="exact"/>
      </w:pPr>
      <w:r>
        <w:rPr>
          <w:rFonts w:hint="eastAsia" w:ascii="Arial" w:hAnsi="Arial" w:eastAsia="微软雅黑" w:cs="Arial"/>
          <w:color w:val="1A1A1A"/>
          <w:sz w:val="21"/>
          <w:szCs w:val="21"/>
          <w:lang w:val="en-US" w:eastAsia="zh-CN"/>
        </w:rPr>
        <w:t xml:space="preserve">爆炸危险：　产品无爆炸。但是可能形成爆炸空气/蒸汽混合物</w:t>
      </w:r>
    </w:p>
    <w:p>
      <w:pPr>
        <w:spacing w:before="0" w:after="0" w:line="320" w:lineRule="exact"/>
      </w:pPr>
      <w:r>
        <w:rPr>
          <w:rFonts w:hint="eastAsia" w:ascii="Arial" w:hAnsi="Arial" w:eastAsia="微软雅黑" w:cs="Arial"/>
          <w:color w:val="1A1A1A"/>
          <w:sz w:val="21"/>
          <w:szCs w:val="21"/>
          <w:lang w:val="en-US" w:eastAsia="zh-CN"/>
        </w:rPr>
        <w:t xml:space="preserve">爆炸上限：　16.0 Vol %</w:t>
      </w:r>
    </w:p>
    <w:p>
      <w:pPr>
        <w:spacing w:before="0" w:after="0" w:line="320" w:lineRule="exact"/>
      </w:pPr>
      <w:r>
        <w:rPr>
          <w:rFonts w:hint="eastAsia" w:ascii="Arial" w:hAnsi="Arial" w:eastAsia="微软雅黑" w:cs="Arial"/>
          <w:color w:val="1A1A1A"/>
          <w:sz w:val="21"/>
          <w:szCs w:val="21"/>
          <w:lang w:val="en-US" w:eastAsia="zh-CN"/>
        </w:rPr>
        <w:t xml:space="preserve">爆炸下限：　1.8 Vol %</w:t>
      </w:r>
    </w:p>
    <w:p>
      <w:pPr>
        <w:spacing w:before="0" w:after="0" w:line="320" w:lineRule="exact"/>
      </w:pPr>
      <w:r>
        <w:rPr>
          <w:rFonts w:hint="eastAsia" w:ascii="Arial" w:hAnsi="Arial" w:eastAsia="微软雅黑" w:cs="Arial"/>
          <w:color w:val="1A1A1A"/>
          <w:sz w:val="21"/>
          <w:szCs w:val="21"/>
          <w:lang w:val="en-US" w:eastAsia="zh-CN"/>
        </w:rPr>
        <w:t xml:space="preserve">蒸气压力 (20℃)：　105 hPa</w:t>
      </w:r>
    </w:p>
    <w:p>
      <w:pPr>
        <w:spacing w:before="0" w:after="0" w:line="320" w:lineRule="exact"/>
      </w:pPr>
      <w:r>
        <w:rPr>
          <w:rFonts w:hint="eastAsia" w:ascii="Arial" w:hAnsi="Arial" w:eastAsia="微软雅黑" w:cs="Arial"/>
          <w:color w:val="1A1A1A"/>
          <w:sz w:val="21"/>
          <w:szCs w:val="21"/>
          <w:lang w:val="en-US" w:eastAsia="zh-CN"/>
        </w:rPr>
        <w:t xml:space="preserve">密度：　未确定的</w:t>
      </w:r>
    </w:p>
    <w:p>
      <w:pPr>
        <w:spacing w:before="0" w:after="0" w:line="320" w:lineRule="exact"/>
      </w:pPr>
      <w:r>
        <w:rPr>
          <w:rFonts w:hint="eastAsia" w:ascii="Arial" w:hAnsi="Arial" w:eastAsia="微软雅黑" w:cs="Arial"/>
          <w:color w:val="1A1A1A"/>
          <w:sz w:val="21"/>
          <w:szCs w:val="21"/>
          <w:lang w:val="en-US" w:eastAsia="zh-CN"/>
        </w:rPr>
        <w:t xml:space="preserve">松密度：　不适用</w:t>
      </w:r>
    </w:p>
    <w:p>
      <w:pPr>
        <w:spacing w:before="0" w:after="0" w:line="320" w:lineRule="exact"/>
      </w:pPr>
      <w:r>
        <w:rPr>
          <w:rFonts w:hint="eastAsia" w:ascii="Arial" w:hAnsi="Arial" w:eastAsia="微软雅黑" w:cs="Arial"/>
          <w:color w:val="1A1A1A"/>
          <w:sz w:val="21"/>
          <w:szCs w:val="21"/>
          <w:lang w:val="en-US" w:eastAsia="zh-CN"/>
        </w:rPr>
        <w:t xml:space="preserve">水中溶解度：　不溶于水或者难溶于水</w:t>
      </w:r>
    </w:p>
    <w:p>
      <w:pPr>
        <w:spacing w:before="0" w:after="0" w:line="320" w:lineRule="exact"/>
      </w:pPr>
      <w:r>
        <w:rPr>
          <w:rFonts w:hint="eastAsia" w:ascii="Arial" w:hAnsi="Arial" w:eastAsia="微软雅黑" w:cs="Arial"/>
          <w:color w:val="1A1A1A"/>
          <w:sz w:val="21"/>
          <w:szCs w:val="21"/>
          <w:lang w:val="en-US" w:eastAsia="zh-CN"/>
        </w:rPr>
        <w:t xml:space="preserve">粘度 20 摄氏度时：　未确定的</w:t>
      </w:r>
    </w:p>
    <w:p>
      <w:pPr>
        <w:spacing w:before="0" w:after="0" w:line="320" w:lineRule="exact"/>
      </w:pPr>
      <w:r>
        <w:rPr>
          <w:rFonts w:hint="eastAsia" w:ascii="Arial" w:hAnsi="Arial" w:eastAsia="微软雅黑" w:cs="Arial"/>
          <w:color w:val="1A1A1A"/>
          <w:sz w:val="21"/>
          <w:szCs w:val="21"/>
          <w:lang w:val="en-US" w:eastAsia="zh-CN"/>
        </w:rPr>
        <w:t xml:space="preserve">溶剂分离测试：　&lt; 3 %</w:t>
      </w:r>
    </w:p>
    <w:p>
      <w:pPr>
        <w:spacing w:before="0" w:after="0" w:line="320" w:lineRule="exact"/>
      </w:pPr>
      <w:r>
        <w:rPr>
          <w:rFonts w:hint="eastAsia" w:ascii="Arial" w:hAnsi="Arial" w:eastAsia="微软雅黑" w:cs="Arial"/>
          <w:color w:val="1A1A1A"/>
          <w:sz w:val="21"/>
          <w:szCs w:val="21"/>
          <w:lang w:val="en-US" w:eastAsia="zh-CN"/>
        </w:rPr>
        <w:t xml:space="preserve">固体含量：　14.5%</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第十项　稳定性和反应性</w:t>
      </w:r>
    </w:p>
    <w:p>
      <w:pPr>
        <w:spacing w:before="0" w:after="0" w:line="320" w:lineRule="exact"/>
      </w:pPr>
      <w:r>
        <w:rPr>
          <w:rFonts w:hint="eastAsia" w:ascii="Arial" w:hAnsi="Arial" w:eastAsia="微软雅黑" w:cs="Arial"/>
          <w:color w:val="1A1A1A"/>
          <w:sz w:val="21"/>
          <w:szCs w:val="21"/>
          <w:lang w:val="en-US" w:eastAsia="zh-CN"/>
        </w:rPr>
        <w:t xml:space="preserve">稳定性：稳定，按照要求使用不会产生分解</w:t>
      </w:r>
    </w:p>
    <w:p>
      <w:pPr>
        <w:spacing w:before="0" w:after="0" w:line="320" w:lineRule="exact"/>
      </w:pPr>
      <w:r>
        <w:rPr>
          <w:rFonts w:hint="eastAsia" w:ascii="Arial" w:hAnsi="Arial" w:eastAsia="微软雅黑" w:cs="Arial"/>
          <w:color w:val="1A1A1A"/>
          <w:sz w:val="21"/>
          <w:szCs w:val="21"/>
          <w:lang w:val="en-US" w:eastAsia="zh-CN"/>
        </w:rPr>
        <w:t xml:space="preserve">有可能的有害反应：与酸、碱、氧化剂混合时可能产生反应</w:t>
      </w:r>
    </w:p>
    <w:p>
      <w:pPr>
        <w:spacing w:before="0" w:after="0" w:line="320" w:lineRule="exact"/>
      </w:pPr>
      <w:r>
        <w:rPr>
          <w:rFonts w:hint="eastAsia" w:ascii="Arial" w:hAnsi="Arial" w:eastAsia="微软雅黑" w:cs="Arial"/>
          <w:color w:val="1A1A1A"/>
          <w:sz w:val="21"/>
          <w:szCs w:val="21"/>
          <w:lang w:val="en-US" w:eastAsia="zh-CN"/>
        </w:rPr>
        <w:t xml:space="preserve">有害分解物质：一氧化碳，二氧化碳，氧化氮，氯化氢</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第十一项　毒理学资料</w:t>
      </w:r>
    </w:p>
    <w:tbl>
      <w:tblPr>
        <w:tblW w:w="0" w:type="auto"/>
        <w:tblBorders>
          <w:top w:val="single" w:sz="4" w:color="E0E3E8"/>
          <w:left w:val="single" w:sz="4" w:color="E0E3E8"/>
          <w:bottom w:val="single" w:sz="4" w:color="E0E3E8"/>
          <w:right w:val="single" w:sz="4" w:color="E0E3E8"/>
          <w:insideH w:val="single" w:sz="4" w:color="E0E3E8"/>
          <w:insideV w:val="single" w:sz="4" w:color="E0E3E8"/>
        </w:tblBorders>
      </w:tblPr>
      <w:tr>
        <w:tc>
          <w:tcPr>
            <w:tcW w:w="26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组分</w:t>
            </w:r>
          </w:p>
        </w:tc>
        <w:tc>
          <w:tcPr>
            <w:tcW w:w="30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测试项目</w:t>
            </w:r>
          </w:p>
        </w:tc>
        <w:tc>
          <w:tcPr>
            <w:tcW w:w="30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结果</w:t>
            </w:r>
          </w:p>
        </w:tc>
      </w:tr>
      <w:tr>
        <w:tc>
          <w:tcPr>
            <w:tcW w:w="2600" w:type="dxa"/>
            <w:shd w:val="clear" w:fill="F5F7FA"/>
            <w:vAlign w:val="center"/>
          </w:tcPr>
          <w:p>
            <w:pPr>
              <w:spacing w:before="0" w:after="0" w:line="300" w:lineRule="atLeast"/>
            </w:pPr>
            <w:r>
              <w:rPr>
                <w:rFonts w:hint="eastAsia" w:ascii="Arial" w:hAnsi="Arial" w:eastAsia="Arial" w:cs="Arial"/>
                <w:b/>
                <w:color w:val="16314F"/>
                <w:sz w:val="20"/>
                <w:szCs w:val="20"/>
                <w:lang w:val="en-US" w:eastAsia="zh-CN"/>
              </w:rPr>
              <w:t xml:space="preserve">丁酮</w:t>
            </w:r>
          </w:p>
        </w:tc>
        <w:tc>
          <w:tcPr>
            <w:tcW w:w="3000" w:type="dxa"/>
            <w:vAlign w:val="center"/>
          </w:tcPr>
          <w:p>
            <w:pPr>
              <w:spacing w:before="0" w:after="0" w:line="300" w:lineRule="atLeast"/>
            </w:pPr>
            <w:r>
              <w:rPr>
                <w:rFonts w:hint="eastAsia" w:ascii="Arial" w:hAnsi="Arial" w:eastAsia="Arial" w:cs="Arial"/>
                <w:sz w:val="20"/>
                <w:szCs w:val="20"/>
                <w:lang w:val="en-US" w:eastAsia="zh-CN"/>
              </w:rPr>
              <w:t xml:space="preserve">口腔 LD50</w:t>
            </w:r>
          </w:p>
        </w:tc>
        <w:tc>
          <w:tcPr>
            <w:tcW w:w="3000" w:type="dxa"/>
            <w:vAlign w:val="center"/>
          </w:tcPr>
          <w:p>
            <w:pPr>
              <w:spacing w:before="0" w:after="0" w:line="300" w:lineRule="atLeast"/>
            </w:pPr>
            <w:r>
              <w:rPr>
                <w:rFonts w:hint="eastAsia" w:ascii="Arial" w:hAnsi="Arial" w:eastAsia="Arial" w:cs="Arial"/>
                <w:sz w:val="20"/>
                <w:szCs w:val="20"/>
                <w:lang w:val="en-US" w:eastAsia="zh-CN"/>
              </w:rPr>
              <w:t xml:space="preserve">3300 mg/Kg (鼠)</w:t>
            </w:r>
          </w:p>
        </w:tc>
      </w:tr>
      <w:tr>
        <w:tc>
          <w:tcPr>
            <w:tcW w:w="2600" w:type="dxa"/>
            <w:shd w:val="clear" w:fill="F5F7FA"/>
            <w:vAlign w:val="center"/>
          </w:tcPr>
          <w:p>
            <w:pPr>
              <w:spacing w:before="0" w:after="0" w:line="300" w:lineRule="atLeast"/>
            </w:pPr>
            <w:r>
              <w:rPr>
                <w:rFonts w:hint="eastAsia" w:ascii="Arial" w:hAnsi="Arial" w:eastAsia="Arial" w:cs="Arial"/>
                <w:b/>
                <w:color w:val="16314F"/>
                <w:sz w:val="20"/>
                <w:szCs w:val="20"/>
                <w:lang w:val="en-US" w:eastAsia="zh-CN"/>
              </w:rPr>
              <w:t xml:space="preserve">丁酮</w:t>
            </w:r>
          </w:p>
        </w:tc>
        <w:tc>
          <w:tcPr>
            <w:tcW w:w="3000" w:type="dxa"/>
            <w:vAlign w:val="center"/>
          </w:tcPr>
          <w:p>
            <w:pPr>
              <w:spacing w:before="0" w:after="0" w:line="300" w:lineRule="atLeast"/>
            </w:pPr>
            <w:r>
              <w:rPr>
                <w:rFonts w:hint="eastAsia" w:ascii="Arial" w:hAnsi="Arial" w:eastAsia="Arial" w:cs="Arial"/>
                <w:sz w:val="20"/>
                <w:szCs w:val="20"/>
                <w:lang w:val="en-US" w:eastAsia="zh-CN"/>
              </w:rPr>
              <w:t xml:space="preserve">皮肤 LD50</w:t>
            </w:r>
          </w:p>
        </w:tc>
        <w:tc>
          <w:tcPr>
            <w:tcW w:w="3000" w:type="dxa"/>
            <w:vAlign w:val="center"/>
          </w:tcPr>
          <w:p>
            <w:pPr>
              <w:spacing w:before="0" w:after="0" w:line="300" w:lineRule="atLeast"/>
            </w:pPr>
            <w:r>
              <w:rPr>
                <w:rFonts w:hint="eastAsia" w:ascii="Arial" w:hAnsi="Arial" w:eastAsia="Arial" w:cs="Arial"/>
                <w:sz w:val="20"/>
                <w:szCs w:val="20"/>
                <w:lang w:val="en-US" w:eastAsia="zh-CN"/>
              </w:rPr>
              <w:t xml:space="preserve">5000 mg/Kg (兔)</w:t>
            </w:r>
          </w:p>
        </w:tc>
      </w:tr>
      <w:tr>
        <w:tc>
          <w:tcPr>
            <w:tcW w:w="2600" w:type="dxa"/>
            <w:shd w:val="clear" w:fill="F5F7FA"/>
            <w:vAlign w:val="center"/>
          </w:tcPr>
          <w:p>
            <w:pPr>
              <w:spacing w:before="0" w:after="0" w:line="300" w:lineRule="atLeast"/>
            </w:pPr>
            <w:r>
              <w:rPr>
                <w:rFonts w:hint="eastAsia" w:ascii="Arial" w:hAnsi="Arial" w:eastAsia="Arial" w:cs="Arial"/>
                <w:b/>
                <w:color w:val="16314F"/>
                <w:sz w:val="20"/>
                <w:szCs w:val="20"/>
                <w:lang w:val="en-US" w:eastAsia="zh-CN"/>
              </w:rPr>
              <w:t xml:space="preserve">乙酸乙酯</w:t>
            </w:r>
          </w:p>
        </w:tc>
        <w:tc>
          <w:tcPr>
            <w:tcW w:w="3000" w:type="dxa"/>
            <w:vAlign w:val="center"/>
          </w:tcPr>
          <w:p>
            <w:pPr>
              <w:spacing w:before="0" w:after="0" w:line="300" w:lineRule="atLeast"/>
            </w:pPr>
            <w:r>
              <w:rPr>
                <w:rFonts w:hint="eastAsia" w:ascii="Arial" w:hAnsi="Arial" w:eastAsia="Arial" w:cs="Arial"/>
                <w:sz w:val="20"/>
                <w:szCs w:val="20"/>
                <w:lang w:val="en-US" w:eastAsia="zh-CN"/>
              </w:rPr>
              <w:t xml:space="preserve">口腔 LD50</w:t>
            </w:r>
          </w:p>
        </w:tc>
        <w:tc>
          <w:tcPr>
            <w:tcW w:w="3000" w:type="dxa"/>
            <w:vAlign w:val="center"/>
          </w:tcPr>
          <w:p>
            <w:pPr>
              <w:spacing w:before="0" w:after="0" w:line="300" w:lineRule="atLeast"/>
            </w:pPr>
            <w:r>
              <w:rPr>
                <w:rFonts w:hint="eastAsia" w:ascii="Arial" w:hAnsi="Arial" w:eastAsia="Arial" w:cs="Arial"/>
                <w:sz w:val="20"/>
                <w:szCs w:val="20"/>
                <w:lang w:val="en-US" w:eastAsia="zh-CN"/>
              </w:rPr>
              <w:t xml:space="preserve">3500 mg/Kg (鼠)</w:t>
            </w:r>
          </w:p>
        </w:tc>
      </w:tr>
      <w:tr>
        <w:tc>
          <w:tcPr>
            <w:tcW w:w="2600" w:type="dxa"/>
            <w:shd w:val="clear" w:fill="F5F7FA"/>
            <w:vAlign w:val="center"/>
          </w:tcPr>
          <w:p>
            <w:pPr>
              <w:spacing w:before="0" w:after="0" w:line="300" w:lineRule="atLeast"/>
            </w:pPr>
            <w:r>
              <w:rPr>
                <w:rFonts w:hint="eastAsia" w:ascii="Arial" w:hAnsi="Arial" w:eastAsia="Arial" w:cs="Arial"/>
                <w:b/>
                <w:color w:val="16314F"/>
                <w:sz w:val="20"/>
                <w:szCs w:val="20"/>
                <w:lang w:val="en-US" w:eastAsia="zh-CN"/>
              </w:rPr>
              <w:t xml:space="preserve">乙酸乙酯</w:t>
            </w:r>
          </w:p>
        </w:tc>
        <w:tc>
          <w:tcPr>
            <w:tcW w:w="3000" w:type="dxa"/>
            <w:vAlign w:val="center"/>
          </w:tcPr>
          <w:p>
            <w:pPr>
              <w:spacing w:before="0" w:after="0" w:line="300" w:lineRule="atLeast"/>
            </w:pPr>
            <w:r>
              <w:rPr>
                <w:rFonts w:hint="eastAsia" w:ascii="Arial" w:hAnsi="Arial" w:eastAsia="Arial" w:cs="Arial"/>
                <w:sz w:val="20"/>
                <w:szCs w:val="20"/>
                <w:lang w:val="en-US" w:eastAsia="zh-CN"/>
              </w:rPr>
              <w:t xml:space="preserve">皮肤 LD50</w:t>
            </w:r>
          </w:p>
        </w:tc>
        <w:tc>
          <w:tcPr>
            <w:tcW w:w="3000" w:type="dxa"/>
            <w:vAlign w:val="center"/>
          </w:tcPr>
          <w:p>
            <w:pPr>
              <w:spacing w:before="0" w:after="0" w:line="300" w:lineRule="atLeast"/>
            </w:pPr>
            <w:r>
              <w:rPr>
                <w:rFonts w:hint="eastAsia" w:ascii="Arial" w:hAnsi="Arial" w:eastAsia="Arial" w:cs="Arial"/>
                <w:sz w:val="20"/>
                <w:szCs w:val="20"/>
                <w:lang w:val="en-US" w:eastAsia="zh-CN"/>
              </w:rPr>
              <w:t xml:space="preserve">5700 mg/Kg (兔)</w:t>
            </w:r>
          </w:p>
        </w:tc>
      </w:tr>
      <w:tr>
        <w:tc>
          <w:tcPr>
            <w:tcW w:w="2600" w:type="dxa"/>
            <w:shd w:val="clear" w:fill="F5F7FA"/>
            <w:vAlign w:val="center"/>
          </w:tcPr>
          <w:p>
            <w:pPr>
              <w:spacing w:before="0" w:after="0" w:line="300" w:lineRule="atLeast"/>
            </w:pPr>
            <w:r>
              <w:rPr>
                <w:rFonts w:hint="eastAsia" w:ascii="Arial" w:hAnsi="Arial" w:eastAsia="Arial" w:cs="Arial"/>
                <w:b/>
                <w:color w:val="16314F"/>
                <w:sz w:val="20"/>
                <w:szCs w:val="20"/>
                <w:lang w:val="en-US" w:eastAsia="zh-CN"/>
              </w:rPr>
              <w:t xml:space="preserve">乙酸乙酯</w:t>
            </w:r>
          </w:p>
        </w:tc>
        <w:tc>
          <w:tcPr>
            <w:tcW w:w="3000" w:type="dxa"/>
            <w:vAlign w:val="center"/>
          </w:tcPr>
          <w:p>
            <w:pPr>
              <w:spacing w:before="0" w:after="0" w:line="300" w:lineRule="atLeast"/>
            </w:pPr>
            <w:r>
              <w:rPr>
                <w:rFonts w:hint="eastAsia" w:ascii="Arial" w:hAnsi="Arial" w:eastAsia="Arial" w:cs="Arial"/>
                <w:sz w:val="20"/>
                <w:szCs w:val="20"/>
                <w:lang w:val="en-US" w:eastAsia="zh-CN"/>
              </w:rPr>
              <w:t xml:space="preserve">吸入 LC50/4h</w:t>
            </w:r>
          </w:p>
        </w:tc>
        <w:tc>
          <w:tcPr>
            <w:tcW w:w="3000" w:type="dxa"/>
            <w:vAlign w:val="center"/>
          </w:tcPr>
          <w:p>
            <w:pPr>
              <w:spacing w:before="0" w:after="0" w:line="300" w:lineRule="atLeast"/>
            </w:pPr>
            <w:r>
              <w:rPr>
                <w:rFonts w:hint="eastAsia" w:ascii="Arial" w:hAnsi="Arial" w:eastAsia="Arial" w:cs="Arial"/>
                <w:sz w:val="20"/>
                <w:szCs w:val="20"/>
                <w:lang w:val="en-US" w:eastAsia="zh-CN"/>
              </w:rPr>
              <w:t xml:space="preserve">9400 mg/L (鼠)</w:t>
            </w:r>
          </w:p>
        </w:tc>
      </w:tr>
    </w:tbl>
    <w:p>
      <w:pPr>
        <w:spacing w:before="0" w:after="0" w:line="320" w:lineRule="exact"/>
      </w:pPr>
      <w:r>
        <w:rPr>
          <w:rFonts w:hint="eastAsia" w:ascii="Arial" w:hAnsi="Arial" w:eastAsia="微软雅黑" w:cs="Arial"/>
          <w:color w:val="1A1A1A"/>
          <w:sz w:val="21"/>
          <w:szCs w:val="21"/>
          <w:lang w:val="en-US" w:eastAsia="zh-CN"/>
        </w:rPr>
        <w:t xml:space="preserve">低毒。</w:t>
      </w:r>
    </w:p>
    <w:p>
      <w:pPr>
        <w:spacing w:before="0" w:after="0" w:line="320" w:lineRule="exact"/>
      </w:pPr>
      <w:r>
        <w:rPr>
          <w:rFonts w:hint="eastAsia" w:ascii="Arial" w:hAnsi="Arial" w:eastAsia="微软雅黑" w:cs="Arial"/>
          <w:color w:val="1A1A1A"/>
          <w:sz w:val="21"/>
          <w:szCs w:val="21"/>
          <w:lang w:val="en-US" w:eastAsia="zh-CN"/>
        </w:rPr>
        <w:t xml:space="preserve">和皮肤接触时无刺激；</w:t>
      </w:r>
    </w:p>
    <w:p>
      <w:pPr>
        <w:spacing w:before="0" w:after="0" w:line="320" w:lineRule="exact"/>
      </w:pPr>
      <w:r>
        <w:rPr>
          <w:rFonts w:hint="eastAsia" w:ascii="Arial" w:hAnsi="Arial" w:eastAsia="微软雅黑" w:cs="Arial"/>
          <w:color w:val="1A1A1A"/>
          <w:sz w:val="21"/>
          <w:szCs w:val="21"/>
          <w:lang w:val="en-US" w:eastAsia="zh-CN"/>
        </w:rPr>
        <w:t xml:space="preserve">与眼睛接触时有刺激感觉；</w:t>
      </w:r>
    </w:p>
    <w:p>
      <w:pPr>
        <w:spacing w:before="0" w:after="0" w:line="320" w:lineRule="exact"/>
      </w:pPr>
      <w:r>
        <w:rPr>
          <w:rFonts w:hint="eastAsia" w:ascii="Arial" w:hAnsi="Arial" w:eastAsia="微软雅黑" w:cs="Arial"/>
          <w:color w:val="1A1A1A"/>
          <w:sz w:val="21"/>
          <w:szCs w:val="21"/>
          <w:lang w:val="en-US" w:eastAsia="zh-CN"/>
        </w:rPr>
        <w:t xml:space="preserve">没有已知的过敏现象</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第十二项　生态学信息</w:t>
      </w:r>
    </w:p>
    <w:p>
      <w:pPr>
        <w:spacing w:before="0" w:after="0" w:line="320" w:lineRule="exact"/>
      </w:pPr>
      <w:r>
        <w:rPr>
          <w:rFonts w:hint="eastAsia" w:ascii="Arial" w:hAnsi="Arial" w:eastAsia="微软雅黑" w:cs="Arial"/>
          <w:color w:val="1A1A1A"/>
          <w:sz w:val="21"/>
          <w:szCs w:val="21"/>
          <w:lang w:val="en-US" w:eastAsia="zh-CN"/>
        </w:rPr>
        <w:t xml:space="preserve">对于水有轻微危害，等级 1，不允许本品接触地下水，污水系统等</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第十三项　废弃处置</w:t>
      </w:r>
    </w:p>
    <w:p>
      <w:pPr>
        <w:spacing w:before="0" w:after="0" w:line="320" w:lineRule="exact"/>
      </w:pPr>
      <w:r>
        <w:rPr>
          <w:rFonts w:hint="eastAsia" w:ascii="Arial" w:hAnsi="Arial" w:eastAsia="微软雅黑" w:cs="Arial"/>
          <w:color w:val="1A1A1A"/>
          <w:sz w:val="21"/>
          <w:szCs w:val="21"/>
          <w:lang w:val="en-US" w:eastAsia="zh-CN"/>
        </w:rPr>
        <w:t xml:space="preserve">废弃处置前应参阅国家和地方有关法规。</w:t>
      </w:r>
    </w:p>
    <w:p>
      <w:pPr>
        <w:spacing w:before="0" w:after="0" w:line="320" w:lineRule="exact"/>
      </w:pPr>
      <w:r>
        <w:rPr>
          <w:rFonts w:hint="eastAsia" w:ascii="Arial" w:hAnsi="Arial" w:eastAsia="微软雅黑" w:cs="Arial"/>
          <w:color w:val="1A1A1A"/>
          <w:sz w:val="21"/>
          <w:szCs w:val="21"/>
          <w:lang w:val="en-US" w:eastAsia="zh-CN"/>
        </w:rPr>
        <w:t xml:space="preserve">废弃化学品：如不能回收利用，需遵照有关危险废物处理条例，将产品放入焚化炉内焚烧处理。不能与家居垃圾一起丢弃，不可进入污水系统。</w:t>
      </w:r>
    </w:p>
    <w:p>
      <w:pPr>
        <w:spacing w:before="0" w:after="0" w:line="320" w:lineRule="exact"/>
      </w:pPr>
      <w:r>
        <w:rPr>
          <w:rFonts w:hint="eastAsia" w:ascii="Arial" w:hAnsi="Arial" w:eastAsia="微软雅黑" w:cs="Arial"/>
          <w:color w:val="1A1A1A"/>
          <w:sz w:val="21"/>
          <w:szCs w:val="21"/>
          <w:lang w:val="en-US" w:eastAsia="zh-CN"/>
        </w:rPr>
        <w:t xml:space="preserve">包装：彻底清空包装内的原料。在进行了全面和正确的清洁后可以循环使用。清洗液应该进行无害化处理。</w:t>
      </w:r>
    </w:p>
    <w:p>
      <w:pPr>
        <w:spacing w:before="0" w:after="0" w:line="320" w:lineRule="exact"/>
      </w:pPr>
      <w:r>
        <w:rPr>
          <w:rFonts w:hint="eastAsia" w:ascii="Arial" w:hAnsi="Arial" w:eastAsia="微软雅黑" w:cs="Arial"/>
          <w:color w:val="1A1A1A"/>
          <w:sz w:val="21"/>
          <w:szCs w:val="21"/>
          <w:lang w:val="en-US" w:eastAsia="zh-CN"/>
        </w:rPr>
        <w:t xml:space="preserve">如果不能完全清洁，则需同产品一样的方法来处置。</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第十四项　运输信息</w:t>
      </w:r>
    </w:p>
    <w:p>
      <w:pPr>
        <w:spacing w:before="0" w:after="0" w:line="320" w:lineRule="exact"/>
      </w:pPr>
      <w:r>
        <w:rPr>
          <w:rFonts w:hint="eastAsia" w:ascii="Arial" w:hAnsi="Arial" w:eastAsia="微软雅黑" w:cs="Arial"/>
          <w:color w:val="1A1A1A"/>
          <w:sz w:val="21"/>
          <w:szCs w:val="21"/>
          <w:lang w:val="en-US" w:eastAsia="zh-CN"/>
        </w:rPr>
        <w:t xml:space="preserve">联合国危险货物编号(UN 号)：1263</w:t>
      </w:r>
    </w:p>
    <w:p>
      <w:pPr>
        <w:spacing w:before="0" w:after="0" w:line="320" w:lineRule="exact"/>
      </w:pPr>
      <w:r>
        <w:rPr>
          <w:rFonts w:hint="eastAsia" w:ascii="Arial" w:hAnsi="Arial" w:eastAsia="微软雅黑" w:cs="Arial"/>
          <w:color w:val="1A1A1A"/>
          <w:sz w:val="21"/>
          <w:szCs w:val="21"/>
          <w:lang w:val="en-US" w:eastAsia="zh-CN"/>
        </w:rPr>
        <w:t xml:space="preserve">联合国危险性分类：3</w:t>
      </w:r>
    </w:p>
    <w:p>
      <w:pPr>
        <w:spacing w:before="0" w:after="0" w:line="320" w:lineRule="exact"/>
      </w:pPr>
      <w:r>
        <w:rPr>
          <w:rFonts w:hint="eastAsia" w:ascii="Arial" w:hAnsi="Arial" w:eastAsia="微软雅黑" w:cs="Arial"/>
          <w:color w:val="1A1A1A"/>
          <w:sz w:val="21"/>
          <w:szCs w:val="21"/>
          <w:lang w:val="en-US" w:eastAsia="zh-CN"/>
        </w:rPr>
        <w:t xml:space="preserve">海运等级：3</w:t>
      </w:r>
    </w:p>
    <w:p>
      <w:pPr>
        <w:spacing w:before="0" w:after="0" w:line="320" w:lineRule="exact"/>
      </w:pPr>
      <w:r>
        <w:rPr>
          <w:rFonts w:hint="eastAsia" w:ascii="Arial" w:hAnsi="Arial" w:eastAsia="微软雅黑" w:cs="Arial"/>
          <w:color w:val="1A1A1A"/>
          <w:sz w:val="21"/>
          <w:szCs w:val="21"/>
          <w:lang w:val="en-US" w:eastAsia="zh-CN"/>
        </w:rPr>
        <w:t xml:space="preserve">包装类别：II</w:t>
      </w:r>
    </w:p>
    <w:p>
      <w:pPr>
        <w:spacing w:before="0" w:after="0" w:line="320" w:lineRule="exact"/>
      </w:pPr>
      <w:r>
        <w:rPr>
          <w:rFonts w:hint="eastAsia" w:ascii="Arial" w:hAnsi="Arial" w:eastAsia="微软雅黑" w:cs="Arial"/>
          <w:color w:val="1A1A1A"/>
          <w:sz w:val="21"/>
          <w:szCs w:val="21"/>
          <w:lang w:val="en-US" w:eastAsia="zh-CN"/>
        </w:rPr>
        <w:t xml:space="preserve">包装标志：易燃液体</w:t>
      </w:r>
    </w:p>
    <w:p>
      <w:pPr>
        <w:spacing w:before="0" w:after="0" w:line="320" w:lineRule="exact"/>
      </w:pPr>
      <w:r>
        <w:rPr>
          <w:rFonts w:hint="eastAsia" w:ascii="Arial" w:hAnsi="Arial" w:eastAsia="微软雅黑" w:cs="Arial"/>
          <w:color w:val="1A1A1A"/>
          <w:sz w:val="21"/>
          <w:szCs w:val="21"/>
          <w:lang w:val="en-US" w:eastAsia="zh-CN"/>
        </w:rPr>
        <w:t xml:space="preserve">包装方法：200L 塑料桶，200L 铁桶</w:t>
      </w:r>
    </w:p>
    <w:p>
      <w:pPr>
        <w:spacing w:before="0" w:after="0" w:line="320" w:lineRule="exact"/>
      </w:pPr>
      <w:r>
        <w:rPr>
          <w:rFonts w:hint="eastAsia" w:ascii="Arial" w:hAnsi="Arial" w:eastAsia="微软雅黑" w:cs="Arial"/>
          <w:color w:val="1A1A1A"/>
          <w:sz w:val="21"/>
          <w:szCs w:val="21"/>
          <w:lang w:val="en-US" w:eastAsia="zh-CN"/>
        </w:rPr>
        <w:t xml:space="preserve">运输注意事项：严禁与氧化剂、食用化学品等混装混运。禁止使用易产生火花的机械设备和工具装卸。</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第十五项　法规信息</w:t>
      </w:r>
    </w:p>
    <w:p>
      <w:pPr>
        <w:spacing w:before="0" w:after="0" w:line="320" w:lineRule="exact"/>
      </w:pPr>
      <w:r>
        <w:rPr>
          <w:rFonts w:hint="eastAsia" w:ascii="Arial" w:hAnsi="Arial" w:eastAsia="微软雅黑" w:cs="Arial"/>
          <w:color w:val="1A1A1A"/>
          <w:sz w:val="21"/>
          <w:szCs w:val="21"/>
          <w:lang w:val="en-US" w:eastAsia="zh-CN"/>
        </w:rPr>
        <w:t xml:space="preserve">《危险化学品安全管理条例》(国务院令第591号，2011年3月2日发布)针对危险化学品的安全生产、使用、储存、运输、装卸等方面均作了相应规定。</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第十六项　其他资料</w:t>
      </w:r>
    </w:p>
    <w:p>
      <w:pPr>
        <w:spacing w:before="0" w:after="0" w:line="320" w:lineRule="exact"/>
      </w:pPr>
      <w:r>
        <w:rPr>
          <w:rFonts w:hint="eastAsia" w:ascii="Arial" w:hAnsi="Arial" w:eastAsia="微软雅黑" w:cs="Arial"/>
          <w:color w:val="1A1A1A"/>
          <w:sz w:val="21"/>
          <w:szCs w:val="21"/>
          <w:lang w:val="en-US" w:eastAsia="zh-CN"/>
        </w:rPr>
        <w:t xml:space="preserve">这一资料是基于目前我们的知识，然而，并不能构成对任何产品特性的担保并且不建立一个法律上有效的合同关系。</w:t>
      </w:r>
    </w:p>
    <w:p>
      <w:pPr>
        <w:spacing w:before="0" w:after="0" w:line="320" w:lineRule="exact"/>
      </w:pPr>
      <w:r>
        <w:rPr>
          <w:rFonts w:hint="eastAsia" w:ascii="Arial" w:hAnsi="Arial" w:eastAsia="微软雅黑" w:cs="Arial"/>
          <w:color w:val="1A1A1A"/>
          <w:sz w:val="21"/>
          <w:szCs w:val="21"/>
          <w:lang w:val="en-US" w:eastAsia="zh-CN"/>
        </w:rPr>
        <w:t xml:space="preserve">相关 GHS 危险类别短语：</w:t>
      </w:r>
    </w:p>
    <w:p>
      <w:pPr>
        <w:spacing w:before="0" w:after="0" w:line="320" w:lineRule="exact"/>
      </w:pPr>
      <w:r>
        <w:rPr>
          <w:rFonts w:hint="eastAsia" w:ascii="Arial" w:hAnsi="Arial" w:eastAsia="微软雅黑" w:cs="Arial"/>
          <w:color w:val="1A1A1A"/>
          <w:sz w:val="21"/>
          <w:szCs w:val="21"/>
          <w:lang w:val="en-US" w:eastAsia="zh-CN"/>
        </w:rPr>
        <w:t xml:space="preserve">H225　高度易燃液体和蒸气</w:t>
      </w:r>
    </w:p>
    <w:p>
      <w:pPr>
        <w:spacing w:before="0" w:after="0" w:line="320" w:lineRule="exact"/>
      </w:pPr>
      <w:r>
        <w:rPr>
          <w:rFonts w:hint="eastAsia" w:ascii="Arial" w:hAnsi="Arial" w:eastAsia="微软雅黑" w:cs="Arial"/>
          <w:color w:val="1A1A1A"/>
          <w:sz w:val="21"/>
          <w:szCs w:val="21"/>
          <w:lang w:val="en-US" w:eastAsia="zh-CN"/>
        </w:rPr>
        <w:t xml:space="preserve">H360D　可能会对未出生的婴儿造成损害</w:t>
      </w:r>
    </w:p>
    <w:p>
      <w:pPr>
        <w:spacing w:before="0" w:after="0" w:line="320" w:lineRule="exact"/>
      </w:pPr>
      <w:r>
        <w:rPr>
          <w:rFonts w:hint="eastAsia" w:ascii="Arial" w:hAnsi="Arial" w:eastAsia="微软雅黑" w:cs="Arial"/>
          <w:color w:val="1A1A1A"/>
          <w:sz w:val="21"/>
          <w:szCs w:val="21"/>
          <w:lang w:val="en-US" w:eastAsia="zh-CN"/>
        </w:rPr>
        <w:t xml:space="preserve">H319　刺激眼睛</w:t>
      </w:r>
    </w:p>
    <w:p>
      <w:pPr>
        <w:spacing w:before="0" w:after="0" w:line="320" w:lineRule="exact"/>
      </w:pPr>
      <w:r>
        <w:rPr>
          <w:rFonts w:hint="eastAsia" w:ascii="Arial" w:hAnsi="Arial" w:eastAsia="微软雅黑" w:cs="Arial"/>
          <w:color w:val="1A1A1A"/>
          <w:sz w:val="21"/>
          <w:szCs w:val="21"/>
          <w:lang w:val="en-US" w:eastAsia="zh-CN"/>
        </w:rPr>
        <w:t xml:space="preserve">H336　气味可能引起瞌睡或者头晕。</w:t>
      </w:r>
    </w:p>
    <w:p>
      <w:pPr>
        <w:spacing w:before="0" w:after="0" w:line="320" w:lineRule="exact"/>
      </w:pPr>
      <w:r>
        <w:rPr>
          <w:rFonts w:hint="eastAsia" w:ascii="Arial" w:hAnsi="Arial" w:eastAsia="微软雅黑" w:cs="Arial"/>
          <w:color w:val="1A1A1A"/>
          <w:sz w:val="21"/>
          <w:szCs w:val="21"/>
          <w:lang w:val="en-US" w:eastAsia="zh-CN"/>
        </w:rPr>
        <w:t xml:space="preserve">缩略语和首字母缩写：</w:t>
      </w:r>
    </w:p>
    <w:p>
      <w:pPr>
        <w:spacing w:before="0" w:after="0" w:line="320" w:lineRule="exact"/>
      </w:pPr>
      <w:r>
        <w:rPr>
          <w:rFonts w:hint="eastAsia" w:ascii="Arial" w:hAnsi="Arial" w:eastAsia="微软雅黑" w:cs="Arial"/>
          <w:color w:val="1A1A1A"/>
          <w:sz w:val="21"/>
          <w:szCs w:val="21"/>
          <w:lang w:val="en-US" w:eastAsia="zh-CN"/>
        </w:rPr>
        <w:t xml:space="preserve">GHS：Globally Harmonized System of Classification and Labelling of Chemicals，全球化学品统一分类和标签制度。</w:t>
      </w:r>
    </w:p>
    <w:p>
      <w:pPr>
        <w:spacing w:before="0" w:after="0" w:line="320" w:lineRule="exact"/>
      </w:pPr>
      <w:r>
        <w:rPr>
          <w:rFonts w:hint="eastAsia" w:ascii="Arial" w:hAnsi="Arial" w:eastAsia="微软雅黑" w:cs="Arial"/>
          <w:color w:val="1A1A1A"/>
          <w:sz w:val="21"/>
          <w:szCs w:val="21"/>
          <w:lang w:val="en-US" w:eastAsia="zh-CN"/>
        </w:rPr>
        <w:t xml:space="preserve">LC50：Lethal concentration，50 percent，半数致死浓度。</w:t>
      </w:r>
    </w:p>
    <w:p>
      <w:pPr>
        <w:spacing w:before="0" w:after="0" w:line="320" w:lineRule="exact"/>
      </w:pPr>
      <w:r>
        <w:rPr>
          <w:rFonts w:hint="eastAsia" w:ascii="Arial" w:hAnsi="Arial" w:eastAsia="微软雅黑" w:cs="Arial"/>
          <w:color w:val="1A1A1A"/>
          <w:sz w:val="21"/>
          <w:szCs w:val="21"/>
          <w:lang w:val="en-US" w:eastAsia="zh-CN"/>
        </w:rPr>
        <w:t xml:space="preserve">LD50：Lethal dose，50 percent，半数致死量。</w:t>
      </w:r>
    </w:p>
    <w:p>
      <w:pPr>
        <w:spacing w:before="0" w:after="0" w:line="320" w:lineRule="exact"/>
      </w:pPr>
      <w:r>
        <w:rPr>
          <w:rFonts w:hint="eastAsia" w:ascii="Arial" w:hAnsi="Arial" w:eastAsia="微软雅黑" w:cs="Arial"/>
          <w:color w:val="1A1A1A"/>
          <w:sz w:val="21"/>
          <w:szCs w:val="21"/>
          <w:lang w:val="en-US" w:eastAsia="zh-CN"/>
        </w:rPr>
        <w:t xml:space="preserve">培训信息：</w:t>
      </w:r>
    </w:p>
    <w:p>
      <w:pPr>
        <w:spacing w:before="0" w:after="0" w:line="320" w:lineRule="exact"/>
      </w:pPr>
      <w:r>
        <w:rPr>
          <w:rFonts w:hint="eastAsia" w:ascii="Arial" w:hAnsi="Arial" w:eastAsia="微软雅黑" w:cs="Arial"/>
          <w:color w:val="1A1A1A"/>
          <w:sz w:val="21"/>
          <w:szCs w:val="21"/>
          <w:lang w:val="en-US" w:eastAsia="zh-CN"/>
        </w:rPr>
        <w:t xml:space="preserve">根据需要，对员工进行安全培训，对操作、使用进行培训。</w:t>
      </w:r>
    </w:p>
    <w:p>
      <w:pPr>
        <w:spacing w:before="0" w:after="0" w:line="320" w:lineRule="exact"/>
      </w:pPr>
      <w:r>
        <w:rPr>
          <w:rFonts w:hint="eastAsia" w:ascii="Arial" w:hAnsi="Arial" w:eastAsia="微软雅黑" w:cs="Arial"/>
          <w:color w:val="1A1A1A"/>
          <w:sz w:val="21"/>
          <w:szCs w:val="21"/>
          <w:lang w:val="en-US" w:eastAsia="zh-CN"/>
        </w:rPr>
        <w:t xml:space="preserve">出具 MSDS 的部门：SHE (安全，健康和环境保护部门)</w:t>
      </w:r>
    </w:p>
    <w:p>
      <w:pPr>
        <w:spacing w:before="0" w:after="0" w:line="320" w:lineRule="exact"/>
      </w:pPr>
      <w:r>
        <w:rPr>
          <w:rFonts w:hint="eastAsia" w:ascii="Arial" w:hAnsi="Arial" w:eastAsia="微软雅黑" w:cs="Arial"/>
          <w:color w:val="1A1A1A"/>
          <w:sz w:val="21"/>
          <w:szCs w:val="21"/>
          <w:lang w:val="en-US" w:eastAsia="zh-CN"/>
        </w:rPr>
        <w:t xml:space="preserve">联络人：Bruce</w:t>
      </w:r>
    </w:p>
    <w:p>
      <w:pPr>
        <w:spacing w:before="0" w:after="0" w:line="320" w:lineRule="exact"/>
      </w:pPr>
      <w:r>
        <w:rPr>
          <w:rFonts w:hint="eastAsia" w:ascii="Arial" w:hAnsi="Arial" w:eastAsia="微软雅黑" w:cs="Arial"/>
          <w:color w:val="1A1A1A"/>
          <w:sz w:val="21"/>
          <w:szCs w:val="21"/>
          <w:lang w:val="en-US" w:eastAsia="zh-CN"/>
        </w:rPr>
        <w:t xml:space="preserve">免责声明：</w:t>
      </w:r>
    </w:p>
    <w:p>
      <w:pPr>
        <w:spacing w:before="0" w:after="0" w:line="320" w:lineRule="exact"/>
      </w:pPr>
      <w:r>
        <w:rPr>
          <w:rFonts w:hint="eastAsia" w:ascii="Arial" w:hAnsi="Arial" w:eastAsia="微软雅黑" w:cs="Arial"/>
          <w:color w:val="1A1A1A"/>
          <w:sz w:val="21"/>
          <w:szCs w:val="21"/>
          <w:lang w:val="en-US" w:eastAsia="zh-CN"/>
        </w:rPr>
        <w:t xml:space="preserve">本 MSDS 的信息仅适用于所指定的产品，除非特别指明，对于本产品与其他物质的混合等情况不适用。</w:t>
      </w:r>
    </w:p>
    <w:sectPr>
      <w:footerReference r:id="rId5" w:type="default"/>
      <w:pgSz w:w="11910" w:h="16840"/>
      <w:pgMar w:top="1431" w:right="1786" w:bottom="1421" w:left="1786" w:header="0" w:footer="1179" w:gutter="0"/>
      <w:cols w:equalWidth="0" w:num="1">
        <w:col w:w="8337"/>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w:panose1 w:val="020B0604020202020204"/>
    <w:charset w:val="00"/>
    <w:family w:val="auto"/>
    <w:pitch w:val="default"/>
    <w:sig w:usb0="E0002EFF" w:usb1="C000785B" w:usb2="00000009" w:usb3="00000000" w:csb0="400001FF" w:csb1="FFFF0000"/>
  </w:font>
</w:fonts>
</file>

<file path=word/footer1.xml><?xml version="1.0" encoding="utf-8"?>
<w:ftr xmlns:w="http://schemas.openxmlformats.org/wordprocessingml/2006/main" xmlns:r="http://schemas.openxmlformats.org/officeDocument/2006/relationships">
  <w:p>
    <w:pPr>
      <w:spacing w:line="242" w:lineRule="exact"/>
      <w:ind w:right="14"/>
      <w:jc w:val="right"/>
    </w:pPr>
    <w:r>
      <w:rPr>
        <w:rFonts w:ascii="宋体" w:hAnsi="宋体" w:eastAsia="宋体" w:cs="宋体"/>
        <w:color w:val="5A5A5A"/>
        <w:sz w:val="17"/>
        <w:szCs w:val="17"/>
      </w:rPr>
      <w:t>1 / 7</w:t>
    </w:r>
  </w:p>
  <w:p>
    <w:pPr>
      <w:spacing w:before="40" w:line="200" w:lineRule="exact"/>
      <w:pBdr>
        <w:top w:val="single" w:sz="6" w:space="3" w:color="C8923C"/>
      </w:pBdr>
      <w:jc w:val="both"/>
    </w:pPr>
    <w:r>
      <w:rPr>
        <w:rFonts w:hint="eastAsia" w:ascii="Arial" w:hAnsi="Arial" w:eastAsia="宋体" w:cs="Arial"/>
        <w:color w:val="5A5A5A"/>
        <w:sz w:val="14"/>
        <w:szCs w:val="14"/>
      </w:rPr>
      <w:t xml:space="preserve">免责声明：本资料基于我们目前的知识与经验编制，仅供客户参考。产品的应用条件与方式非我们所能控制，曜尘新材料科技（上海）有限公司不对其在特定用途中的适用性作出担保，亦不承担因不当使用本产品而产生的一切责任。使用前请务必阅读产品安全技术说明书（MSDS）。</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0C136C">
    <w:pPr>
      <w:spacing w:line="242" w:lineRule="exact"/>
      <w:ind w:right="104"/>
      <w:jc w:val="right"/>
      <w:rPr>
        <w:rFonts w:ascii="Times New Roman" w:hAnsi="Times New Roman" w:eastAsia="Times New Roman" w:cs="Times New Roman"/>
        <w:sz w:val="17"/>
        <w:szCs w:val="17"/>
      </w:rPr>
    </w:pPr>
    <w:r>
      <w:rPr>
        <w:rFonts w:ascii="宋体" w:hAnsi="宋体" w:eastAsia="宋体" w:cs="宋体"/>
        <w:spacing w:val="-9"/>
        <w:position w:val="1"/>
        <w:sz w:val="17"/>
        <w:szCs w:val="17"/>
      </w:rPr>
      <w:t>2</w:t>
    </w:r>
    <w:r>
      <w:rPr>
        <w:rFonts w:ascii="宋体" w:hAnsi="宋体" w:eastAsia="宋体" w:cs="宋体"/>
        <w:spacing w:val="-6"/>
        <w:position w:val="1"/>
        <w:sz w:val="17"/>
        <w:szCs w:val="17"/>
      </w:rPr>
      <w:t xml:space="preserve"> </w:t>
    </w:r>
    <w:r>
      <w:rPr>
        <w:rFonts w:ascii="Times New Roman" w:hAnsi="Times New Roman" w:eastAsia="Times New Roman" w:cs="Times New Roman"/>
        <w:spacing w:val="-6"/>
        <w:position w:val="1"/>
        <w:sz w:val="17"/>
        <w:szCs w:val="17"/>
      </w:rPr>
      <w:t xml:space="preserve">/ </w:t>
    </w:r>
    <w:r>
      <w:rPr>
        <w:rFonts w:ascii="Times New Roman" w:hAnsi="Times New Roman" w:eastAsia="Times New Roman" w:cs="Times New Roman"/>
        <w:b/>
        <w:bCs/>
        <w:spacing w:val="-6"/>
        <w:position w:val="1"/>
        <w:sz w:val="17"/>
        <w:szCs w:val="17"/>
      </w:rPr>
      <w:t>7</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F56138">
    <w:pPr>
      <w:spacing w:line="14" w:lineRule="auto"/>
      <w:rPr>
        <w:rFonts w:ascii="Arial"/>
        <w:sz w:val="2"/>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CE05BA">
    <w:pPr>
      <w:spacing w:line="242" w:lineRule="exact"/>
      <w:ind w:right="25"/>
      <w:jc w:val="right"/>
      <w:rPr>
        <w:rFonts w:ascii="Times New Roman" w:hAnsi="Times New Roman" w:eastAsia="Times New Roman" w:cs="Times New Roman"/>
        <w:sz w:val="17"/>
        <w:szCs w:val="17"/>
      </w:rPr>
    </w:pPr>
    <w:r>
      <w:rPr>
        <w:rFonts w:ascii="宋体" w:hAnsi="宋体" w:eastAsia="宋体" w:cs="宋体"/>
        <w:spacing w:val="-10"/>
        <w:position w:val="1"/>
        <w:sz w:val="17"/>
        <w:szCs w:val="17"/>
      </w:rPr>
      <w:t>5</w:t>
    </w:r>
    <w:r>
      <w:rPr>
        <w:rFonts w:ascii="宋体" w:hAnsi="宋体" w:eastAsia="宋体" w:cs="宋体"/>
        <w:spacing w:val="-6"/>
        <w:position w:val="1"/>
        <w:sz w:val="17"/>
        <w:szCs w:val="17"/>
      </w:rPr>
      <w:t xml:space="preserve"> </w:t>
    </w:r>
    <w:r>
      <w:rPr>
        <w:rFonts w:ascii="Times New Roman" w:hAnsi="Times New Roman" w:eastAsia="Times New Roman" w:cs="Times New Roman"/>
        <w:spacing w:val="-6"/>
        <w:position w:val="1"/>
        <w:sz w:val="17"/>
        <w:szCs w:val="17"/>
      </w:rPr>
      <w:t xml:space="preserve">/ </w:t>
    </w:r>
    <w:r>
      <w:rPr>
        <w:rFonts w:ascii="Times New Roman" w:hAnsi="Times New Roman" w:eastAsia="Times New Roman" w:cs="Times New Roman"/>
        <w:b/>
        <w:bCs/>
        <w:spacing w:val="-6"/>
        <w:position w:val="1"/>
        <w:sz w:val="17"/>
        <w:szCs w:val="17"/>
      </w:rPr>
      <w:t>7</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8D630E">
    <w:pPr>
      <w:spacing w:line="14" w:lineRule="auto"/>
      <w:rPr>
        <w:rFonts w:ascii="Arial"/>
        <w:sz w:val="2"/>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4CBAE0">
    <w:pPr>
      <w:spacing w:line="242" w:lineRule="exact"/>
      <w:ind w:right="25"/>
      <w:jc w:val="right"/>
      <w:rPr>
        <w:rFonts w:ascii="Times New Roman" w:hAnsi="Times New Roman" w:eastAsia="Times New Roman" w:cs="Times New Roman"/>
        <w:sz w:val="17"/>
        <w:szCs w:val="17"/>
      </w:rPr>
    </w:pPr>
    <w:r>
      <w:rPr>
        <w:rFonts w:ascii="宋体" w:hAnsi="宋体" w:eastAsia="宋体" w:cs="宋体"/>
        <w:spacing w:val="-7"/>
        <w:position w:val="1"/>
        <w:sz w:val="17"/>
        <w:szCs w:val="17"/>
      </w:rPr>
      <w:t xml:space="preserve">7 </w:t>
    </w:r>
    <w:r>
      <w:rPr>
        <w:rFonts w:ascii="Times New Roman" w:hAnsi="Times New Roman" w:eastAsia="Times New Roman" w:cs="Times New Roman"/>
        <w:spacing w:val="-7"/>
        <w:position w:val="1"/>
        <w:sz w:val="17"/>
        <w:szCs w:val="17"/>
      </w:rPr>
      <w:t xml:space="preserve">/ </w:t>
    </w:r>
    <w:r>
      <w:rPr>
        <w:rFonts w:ascii="Times New Roman" w:hAnsi="Times New Roman" w:eastAsia="Times New Roman" w:cs="Times New Roman"/>
        <w:b/>
        <w:bCs/>
        <w:spacing w:val="-7"/>
        <w:position w:val="1"/>
        <w:sz w:val="17"/>
        <w:szCs w:val="17"/>
      </w:rPr>
      <w:t>7</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EDCC4C">
    <w:pPr>
      <w:spacing w:line="227" w:lineRule="auto"/>
      <w:ind w:left="4570"/>
      <w:rPr>
        <w:rFonts w:ascii="Times New Roman" w:hAnsi="Times New Roman" w:eastAsia="Times New Roman" w:cs="Times New Roman"/>
        <w:sz w:val="20"/>
        <w:szCs w:val="20"/>
      </w:rPr>
    </w:pPr>
    <w:r>
      <w:drawing>
        <wp:anchor distT="0" distB="0" distL="0" distR="0" simplePos="0" relativeHeight="251660288"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r:embed="rId1"/>
                  <a:stretch>
                    <a:fillRect/>
                  </a:stretch>
                </pic:blipFill>
                <pic:spPr>
                  <a:xfrm>
                    <a:off x="0" y="0"/>
                    <a:ext cx="5311140" cy="9144"/>
                  </a:xfrm>
                  <a:prstGeom prst="rect">
                    <a:avLst/>
                  </a:prstGeom>
                </pic:spPr>
              </pic:pic>
            </a:graphicData>
          </a:graphic>
        </wp:anchor>
      </w:drawing>
    </w:r>
    <w:r>
      <w:pict>
        <v:shape id="_x0000_s2049" o:spid="_x0000_s2049" o:spt="202" type="#_x0000_t202" style="position:absolute;left:0pt;margin-left:0.85pt;margin-top:-0.8pt;height:25.65pt;width:112.05pt;z-index:251659264;mso-width-relative:page;mso-height-relative:page;" filled="f" stroked="f" coordsize="21600,21600">
          <v:path/>
          <v:fill on="f" focussize="0,0"/>
          <v:stroke on="f"/>
          <v:imagedata o:title=""/>
          <o:lock v:ext="edit" aspectratio="f"/>
          <v:textbox inset="0mm,0mm,0mm,0mm">
            <w:txbxContent>
              <w:p w14:paraId="57F8FF7C">
                <w:pPr>
                  <w:spacing w:before="19" w:line="228" w:lineRule="auto"/>
                  <w:ind w:left="21"/>
                  <w:rPr>
                    <w:rFonts w:ascii="宋体" w:hAnsi="宋体" w:eastAsia="宋体" w:cs="宋体"/>
                    <w:sz w:val="20"/>
                    <w:szCs w:val="20"/>
                  </w:rPr>
                </w:pPr>
                <w:r>
                  <w:rPr>
                    <w:rFonts w:ascii="宋体" w:hAnsi="宋体" w:eastAsia="宋体" w:cs="宋体"/>
                    <w:spacing w:val="13"/>
                    <w:sz w:val="20"/>
                    <w:szCs w:val="20"/>
                    <w14:textOutline w14:w="3795" w14:cap="sq" w14:cmpd="sng">
                      <w14:solidFill>
                        <w14:srgbClr w14:val="000000"/>
                      </w14:solidFill>
                      <w14:prstDash w14:val="solid"/>
                      <w14:bevel/>
                    </w14:textOutline>
                  </w:rPr>
                  <w:t>产</w:t>
                </w:r>
                <w:r>
                  <w:rPr>
                    <w:rFonts w:ascii="宋体" w:hAnsi="宋体" w:eastAsia="宋体" w:cs="宋体"/>
                    <w:spacing w:val="9"/>
                    <w:sz w:val="20"/>
                    <w:szCs w:val="20"/>
                    <w14:textOutline w14:w="3795" w14:cap="sq" w14:cmpd="sng">
                      <w14:solidFill>
                        <w14:srgbClr w14:val="000000"/>
                      </w14:solidFill>
                      <w14:prstDash w14:val="solid"/>
                      <w14:bevel/>
                    </w14:textOutline>
                  </w:rPr>
                  <w:t>品名称：表处剂</w:t>
                </w:r>
              </w:p>
              <w:p w14:paraId="7A4ACC99">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202</w:t>
                </w:r>
                <w:r>
                  <w:rPr>
                    <w:rFonts w:hint="eastAsia" w:ascii="Times New Roman" w:hAnsi="Times New Roman" w:eastAsia="宋体" w:cs="Times New Roman"/>
                    <w:b/>
                    <w:bCs/>
                    <w:spacing w:val="2"/>
                    <w:sz w:val="17"/>
                    <w:szCs w:val="17"/>
                    <w:lang w:val="en-US" w:eastAsia="zh-CN"/>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0E89DB">
    <w:pPr>
      <w:spacing w:line="14" w:lineRule="auto"/>
      <w:rPr>
        <w:rFonts w:ascii="Arial"/>
        <w:sz w:val="2"/>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52CA10">
    <w:pPr>
      <w:spacing w:line="227" w:lineRule="auto"/>
      <w:ind w:left="4647"/>
      <w:rPr>
        <w:rFonts w:ascii="Times New Roman" w:hAnsi="Times New Roman" w:eastAsia="Times New Roman" w:cs="Times New Roman"/>
        <w:sz w:val="20"/>
        <w:szCs w:val="20"/>
      </w:rPr>
    </w:pPr>
    <w:r>
      <w:drawing>
        <wp:anchor distT="0" distB="0" distL="0" distR="0" simplePos="0" relativeHeight="251662336" behindDoc="0" locked="0" layoutInCell="0" allowOverlap="1">
          <wp:simplePos x="0" y="0"/>
          <wp:positionH relativeFrom="page">
            <wp:posOffset>1124585</wp:posOffset>
          </wp:positionH>
          <wp:positionV relativeFrom="page">
            <wp:posOffset>873760</wp:posOffset>
          </wp:positionV>
          <wp:extent cx="5311140" cy="8890"/>
          <wp:effectExtent l="0" t="0" r="0" b="0"/>
          <wp:wrapNone/>
          <wp:docPr id="11" name="IM 11"/>
          <wp:cNvGraphicFramePr/>
          <a:graphic xmlns:a="http://schemas.openxmlformats.org/drawingml/2006/main">
            <a:graphicData uri="http://schemas.openxmlformats.org/drawingml/2006/picture">
              <pic:pic xmlns:pic="http://schemas.openxmlformats.org/drawingml/2006/picture">
                <pic:nvPicPr>
                  <pic:cNvPr id="11" name="IM 11"/>
                  <pic:cNvPicPr/>
                </pic:nvPicPr>
                <pic:blipFill>
                  <a:blip r:embed="rId1"/>
                  <a:stretch>
                    <a:fillRect/>
                  </a:stretch>
                </pic:blipFill>
                <pic:spPr>
                  <a:xfrm>
                    <a:off x="0" y="0"/>
                    <a:ext cx="5311140" cy="9143"/>
                  </a:xfrm>
                  <a:prstGeom prst="rect">
                    <a:avLst/>
                  </a:prstGeom>
                </pic:spPr>
              </pic:pic>
            </a:graphicData>
          </a:graphic>
        </wp:anchor>
      </w:drawing>
    </w:r>
    <w:r>
      <w:pict>
        <v:shape id="_x0000_s2050" o:spid="_x0000_s2050" o:spt="202" type="#_x0000_t202" style="position:absolute;left:0pt;margin-left:4.7pt;margin-top:-0.8pt;height:25.65pt;width:112.05pt;z-index:251661312;mso-width-relative:page;mso-height-relative:page;" filled="f" stroked="f" coordsize="21600,21600">
          <v:path/>
          <v:fill on="f" focussize="0,0"/>
          <v:stroke on="f"/>
          <v:imagedata o:title=""/>
          <o:lock v:ext="edit" aspectratio="f"/>
          <v:textbox inset="0mm,0mm,0mm,0mm">
            <w:txbxContent>
              <w:p w14:paraId="22CB848C">
                <w:pPr>
                  <w:spacing w:before="19" w:line="228" w:lineRule="auto"/>
                  <w:ind w:left="21"/>
                  <w:rPr>
                    <w:rFonts w:ascii="宋体" w:hAnsi="宋体" w:eastAsia="宋体" w:cs="宋体"/>
                    <w:sz w:val="20"/>
                    <w:szCs w:val="20"/>
                  </w:rPr>
                </w:pPr>
                <w:r>
                  <w:rPr>
                    <w:rFonts w:ascii="宋体" w:hAnsi="宋体" w:eastAsia="宋体" w:cs="宋体"/>
                    <w:spacing w:val="13"/>
                    <w:sz w:val="20"/>
                    <w:szCs w:val="20"/>
                    <w14:textOutline w14:w="3795" w14:cap="sq" w14:cmpd="sng">
                      <w14:solidFill>
                        <w14:srgbClr w14:val="000000"/>
                      </w14:solidFill>
                      <w14:prstDash w14:val="solid"/>
                      <w14:bevel/>
                    </w14:textOutline>
                  </w:rPr>
                  <w:t>产</w:t>
                </w:r>
                <w:r>
                  <w:rPr>
                    <w:rFonts w:ascii="宋体" w:hAnsi="宋体" w:eastAsia="宋体" w:cs="宋体"/>
                    <w:spacing w:val="9"/>
                    <w:sz w:val="20"/>
                    <w:szCs w:val="20"/>
                    <w14:textOutline w14:w="3795" w14:cap="sq" w14:cmpd="sng">
                      <w14:solidFill>
                        <w14:srgbClr w14:val="000000"/>
                      </w14:solidFill>
                      <w14:prstDash w14:val="solid"/>
                      <w14:bevel/>
                    </w14:textOutline>
                  </w:rPr>
                  <w:t>品名称：表处剂</w:t>
                </w:r>
              </w:p>
              <w:p w14:paraId="233B4182">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202</w:t>
                </w:r>
                <w:r>
                  <w:rPr>
                    <w:rFonts w:hint="eastAsia" w:ascii="Times New Roman" w:hAnsi="Times New Roman" w:eastAsia="宋体" w:cs="Times New Roman"/>
                    <w:b/>
                    <w:bCs/>
                    <w:spacing w:val="2"/>
                    <w:sz w:val="17"/>
                    <w:szCs w:val="17"/>
                    <w:lang w:val="en-US" w:eastAsia="zh-CN"/>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E7AA5B">
    <w:pPr>
      <w:spacing w:line="227" w:lineRule="auto"/>
      <w:ind w:left="4570"/>
      <w:rPr>
        <w:rFonts w:ascii="Times New Roman" w:hAnsi="Times New Roman" w:eastAsia="Times New Roman" w:cs="Times New Roman"/>
        <w:sz w:val="20"/>
        <w:szCs w:val="20"/>
      </w:rPr>
    </w:pPr>
    <w:r>
      <w:drawing>
        <wp:anchor distT="0" distB="0" distL="0" distR="0" simplePos="0" relativeHeight="251664384"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2" name="IM 12"/>
          <wp:cNvGraphicFramePr/>
          <a:graphic xmlns:a="http://schemas.openxmlformats.org/drawingml/2006/main">
            <a:graphicData uri="http://schemas.openxmlformats.org/drawingml/2006/picture">
              <pic:pic xmlns:pic="http://schemas.openxmlformats.org/drawingml/2006/picture">
                <pic:nvPicPr>
                  <pic:cNvPr id="12" name="IM 12"/>
                  <pic:cNvPicPr/>
                </pic:nvPicPr>
                <pic:blipFill>
                  <a:blip r:embed="rId1"/>
                  <a:stretch>
                    <a:fillRect/>
                  </a:stretch>
                </pic:blipFill>
                <pic:spPr>
                  <a:xfrm>
                    <a:off x="0" y="0"/>
                    <a:ext cx="5311140" cy="9144"/>
                  </a:xfrm>
                  <a:prstGeom prst="rect">
                    <a:avLst/>
                  </a:prstGeom>
                </pic:spPr>
              </pic:pic>
            </a:graphicData>
          </a:graphic>
        </wp:anchor>
      </w:drawing>
    </w:r>
    <w:r>
      <w:pict>
        <v:shape id="_x0000_s2051" o:spid="_x0000_s2051" o:spt="202" type="#_x0000_t202" style="position:absolute;left:0pt;margin-left:0.85pt;margin-top:-0.8pt;height:25.65pt;width:112.05pt;z-index:251663360;mso-width-relative:page;mso-height-relative:page;" filled="f" stroked="f" coordsize="21600,21600">
          <v:path/>
          <v:fill on="f" focussize="0,0"/>
          <v:stroke on="f"/>
          <v:imagedata o:title=""/>
          <o:lock v:ext="edit" aspectratio="f"/>
          <v:textbox inset="0mm,0mm,0mm,0mm">
            <w:txbxContent>
              <w:p w14:paraId="3B22F501">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6734BF0A">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6B2561">
    <w:pPr>
      <w:spacing w:line="227" w:lineRule="auto"/>
      <w:ind w:left="4647"/>
      <w:rPr>
        <w:rFonts w:ascii="Times New Roman" w:hAnsi="Times New Roman" w:eastAsia="Times New Roman" w:cs="Times New Roman"/>
        <w:sz w:val="20"/>
        <w:szCs w:val="20"/>
      </w:rPr>
    </w:pPr>
    <w:r>
      <w:drawing>
        <wp:anchor distT="0" distB="0" distL="0" distR="0" simplePos="0" relativeHeight="251666432"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3" name="IM 13"/>
          <wp:cNvGraphicFramePr/>
          <a:graphic xmlns:a="http://schemas.openxmlformats.org/drawingml/2006/main">
            <a:graphicData uri="http://schemas.openxmlformats.org/drawingml/2006/picture">
              <pic:pic xmlns:pic="http://schemas.openxmlformats.org/drawingml/2006/picture">
                <pic:nvPicPr>
                  <pic:cNvPr id="13" name="IM 13"/>
                  <pic:cNvPicPr/>
                </pic:nvPicPr>
                <pic:blipFill>
                  <a:blip r:embed="rId1"/>
                  <a:stretch>
                    <a:fillRect/>
                  </a:stretch>
                </pic:blipFill>
                <pic:spPr>
                  <a:xfrm>
                    <a:off x="0" y="0"/>
                    <a:ext cx="5311140" cy="9144"/>
                  </a:xfrm>
                  <a:prstGeom prst="rect">
                    <a:avLst/>
                  </a:prstGeom>
                </pic:spPr>
              </pic:pic>
            </a:graphicData>
          </a:graphic>
        </wp:anchor>
      </w:drawing>
    </w:r>
    <w:r>
      <w:pict>
        <v:shape id="_x0000_s2052" o:spid="_x0000_s2052" o:spt="202" type="#_x0000_t202" style="position:absolute;left:0pt;margin-left:4.7pt;margin-top:-0.8pt;height:25.65pt;width:112.05pt;z-index:251665408;mso-width-relative:page;mso-height-relative:page;" filled="f" stroked="f" coordsize="21600,21600">
          <v:path/>
          <v:fill on="f" focussize="0,0"/>
          <v:stroke on="f"/>
          <v:imagedata o:title=""/>
          <o:lock v:ext="edit" aspectratio="f"/>
          <v:textbox inset="0mm,0mm,0mm,0mm">
            <w:txbxContent>
              <w:p w14:paraId="3B0924D5">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30C050BF">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72E8D1">
    <w:pPr>
      <w:spacing w:line="227" w:lineRule="auto"/>
      <w:ind w:left="4570"/>
      <w:rPr>
        <w:rFonts w:ascii="Times New Roman" w:hAnsi="Times New Roman" w:eastAsia="Times New Roman" w:cs="Times New Roman"/>
        <w:sz w:val="20"/>
        <w:szCs w:val="20"/>
      </w:rPr>
    </w:pPr>
    <w:r>
      <w:drawing>
        <wp:anchor distT="0" distB="0" distL="0" distR="0" simplePos="0" relativeHeight="251664384"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4" name="IM 12"/>
          <wp:cNvGraphicFramePr/>
          <a:graphic xmlns:a="http://schemas.openxmlformats.org/drawingml/2006/main">
            <a:graphicData uri="http://schemas.openxmlformats.org/drawingml/2006/picture">
              <pic:pic xmlns:pic="http://schemas.openxmlformats.org/drawingml/2006/picture">
                <pic:nvPicPr>
                  <pic:cNvPr id="14" name="IM 12"/>
                  <pic:cNvPicPr/>
                </pic:nvPicPr>
                <pic:blipFill>
                  <a:blip r:embed="rId1"/>
                  <a:stretch>
                    <a:fillRect/>
                  </a:stretch>
                </pic:blipFill>
                <pic:spPr>
                  <a:xfrm>
                    <a:off x="0" y="0"/>
                    <a:ext cx="5311140" cy="9144"/>
                  </a:xfrm>
                  <a:prstGeom prst="rect">
                    <a:avLst/>
                  </a:prstGeom>
                </pic:spPr>
              </pic:pic>
            </a:graphicData>
          </a:graphic>
        </wp:anchor>
      </w:drawing>
    </w:r>
    <w:r>
      <w:pict>
        <v:shape id="_x0000_s2053" o:spid="_x0000_s2053" o:spt="202" type="#_x0000_t202" style="position:absolute;left:0pt;margin-left:0.85pt;margin-top:-0.8pt;height:25.65pt;width:112.05pt;z-index:251663360;mso-width-relative:page;mso-height-relative:page;" filled="f" stroked="f" coordsize="21600,21600">
          <v:path/>
          <v:fill on="f" focussize="0,0"/>
          <v:stroke on="f"/>
          <v:imagedata o:title=""/>
          <o:lock v:ext="edit" aspectratio="f"/>
          <v:textbox inset="0mm,0mm,0mm,0mm">
            <w:txbxContent>
              <w:p w14:paraId="014CE53E">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7BFD5D7F">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isplayHorizontalDrawingGridEvery w:val="1"/>
  <w:displayVerticalDrawingGridEvery w:val="1"/>
  <w:noPunctuationKerning w:val="1"/>
  <w:characterSpacingControl w:val="doNotCompress"/>
  <w:hdrShapeDefaults>
    <o:shapelayout v:ext="edit">
      <o:idmap v:ext="edit" data="2"/>
    </o:shapelayout>
  </w:hdrShapeDefaults>
  <w:footnotePr>
    <w:footnote w:id="0"/>
    <w:footnote w:id="1"/>
  </w:footnotePr>
  <w:endnotePr>
    <w:endnote w:id="0"/>
    <w:endnote w:id="1"/>
  </w:endnotePr>
  <w:compat>
    <w:spaceForUL/>
    <w:ulTrailSpace/>
    <w:doNotExpandShiftReturn/>
    <w:doNotWrapTextWithPunct/>
    <w:doNotUseEastAsianBreakRules/>
    <w:useFELayout/>
    <w:compatSetting w:name="compatibilityMode" w:uri="http://schemas.microsoft.com/office/word" w:val="14"/>
  </w:compat>
  <w:rsids>
    <w:rsidRoot w:val="00000000"/>
    <w:rsid w:val="194F6890"/>
    <w:rsid w:val="500C32F4"/>
    <w:rsid w:val="529A2D92"/>
    <w:rsid w:val="53E43FE0"/>
    <w:rsid w:val="588910D6"/>
    <w:rsid w:val="70CD3D9D"/>
    <w:rsid w:val="73D649D2"/>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customStyle="1" w:styleId="5">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2.xml"/><Relationship Id="rId7" Type="http://schemas.openxmlformats.org/officeDocument/2006/relationships/footer" Target="footer2.xml"/><Relationship Id="rId6" Type="http://schemas.openxmlformats.org/officeDocument/2006/relationships/header" Target="header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5" Type="http://schemas.openxmlformats.org/officeDocument/2006/relationships/fontTable" Target="fontTable.xml"/><Relationship Id="rId24" Type="http://schemas.openxmlformats.org/officeDocument/2006/relationships/customXml" Target="../customXml/item1.xml"/><Relationship Id="rId23" Type="http://schemas.openxmlformats.org/officeDocument/2006/relationships/image" Target="media/image2.png"/><Relationship Id="rId22" Type="http://schemas.openxmlformats.org/officeDocument/2006/relationships/image" Target="media/image7.png"/><Relationship Id="rId21" Type="http://schemas.openxmlformats.org/officeDocument/2006/relationships/image" Target="media/image6.jpeg"/><Relationship Id="rId20" Type="http://schemas.openxmlformats.org/officeDocument/2006/relationships/image" Target="media/image5.jpeg"/><Relationship Id="rId2" Type="http://schemas.openxmlformats.org/officeDocument/2006/relationships/settings" Target="settings.xml"/><Relationship Id="rId19" Type="http://schemas.openxmlformats.org/officeDocument/2006/relationships/image" Target="media/image4.jpeg"/><Relationship Id="rId18" Type="http://schemas.openxmlformats.org/officeDocument/2006/relationships/image" Target="media/image3.jpeg"/><Relationship Id="rId17" Type="http://schemas.openxmlformats.org/officeDocument/2006/relationships/theme" Target="theme/theme1.xml"/><Relationship Id="rId16" Type="http://schemas.openxmlformats.org/officeDocument/2006/relationships/footer" Target="footer6.xml"/><Relationship Id="rId15" Type="http://schemas.openxmlformats.org/officeDocument/2006/relationships/header" Target="header6.xml"/><Relationship Id="rId14" Type="http://schemas.openxmlformats.org/officeDocument/2006/relationships/footer" Target="footer5.xml"/><Relationship Id="rId13" Type="http://schemas.openxmlformats.org/officeDocument/2006/relationships/header" Target="header5.xml"/><Relationship Id="rId12" Type="http://schemas.openxmlformats.org/officeDocument/2006/relationships/footer" Target="footer4.xml"/><Relationship Id="rId11" Type="http://schemas.openxmlformats.org/officeDocument/2006/relationships/header" Target="header4.xml"/><Relationship Id="rId10" Type="http://schemas.openxmlformats.org/officeDocument/2006/relationships/header" Target="header3.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ops>
  <customShpExts>
    <customShpInfo spid="_x0000_s2049"/>
    <customShpInfo spid="_x0000_s2050"/>
    <customShpInfo spid="_x0000_s2051"/>
    <customShpInfo spid="_x0000_s2052"/>
    <customShpInfo spid="_x0000_s2053"/>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7</Pages>
  <Words>2790</Words>
  <Characters>3246</Characters>
  <TotalTime>31</TotalTime>
  <ScaleCrop>false</ScaleCrop>
  <LinksUpToDate>false</LinksUpToDate>
  <CharactersWithSpaces>3518</CharactersWithSpaces>
  <Application>WPS Office_12.1.0.22529_F1E327BC-269C-435d-A152-05C5408002CA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2021-03-11T16:19:00Z</dcterms:created>
  <dc:creator>admin</dc:creator>
  <cp:lastModifiedBy>祁磊磊</cp:lastModifiedBy>
  <dcterms:modified xsi:type="dcterms:W3CDTF">2025-09-18T08:58:37Z</dcterms:modified>
  <dc:title>化学品安全技术说明书</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wqlLaW5nc29mdCBQREYgdG8gV1BTIDgw</vt:lpwstr>
  </property>
  <property fmtid="{D5CDD505-2E9C-101B-9397-08002B2CF9AE}" pid="3" name="Created">
    <vt:filetime>2023-06-26T17:44:32Z</vt:filetime>
  </property>
  <property fmtid="{D5CDD505-2E9C-101B-9397-08002B2CF9AE}" pid="4" name="KSOTemplateDocerSaveRecord">
    <vt:lpwstr>eyJoZGlkIjoiMzEwNTM5NzYwMDRjMzkwZTVkZjY2ODkwMGIxNGU0OTUiLCJ1c2VySWQiOiI0MjU5MzUifQ==</vt:lpwstr>
  </property>
  <property fmtid="{D5CDD505-2E9C-101B-9397-08002B2CF9AE}" pid="5" name="KSOProductBuildVer">
    <vt:lpwstr>2052-12.1.0.22529</vt:lpwstr>
  </property>
  <property fmtid="{D5CDD505-2E9C-101B-9397-08002B2CF9AE}" pid="6" name="ICV">
    <vt:lpwstr>883399792EF04B84A39731FF80490A4D_13</vt:lpwstr>
  </property>
</Properties>
</file>