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http://schemas.openxmlformats.org/wordprocessingml/2006/main" xmlns:r="http://schemas.openxmlformats.org/officeDocument/2006/relationships">
  <w:body>
    <w:p>
      <w:pPr>
        <w:spacing w:before="0" w:after="0" w:line="440" w:lineRule="exact"/>
        <w:jc w:val="center"/>
      </w:pPr>
      <w:r>
        <w:rPr>
          <w:rFonts w:hint="eastAsia" w:ascii="Arial" w:hAnsi="Arial" w:eastAsia="微软雅黑" w:cs="Arial"/>
          <w:b/>
          <w:color w:val="16314F"/>
          <w:sz w:val="30"/>
          <w:szCs w:val="30"/>
          <w:lang w:val="en-US" w:eastAsia="zh-CN"/>
        </w:rPr>
        <w:t xml:space="preserve">化学品安全技术说明书</w:t>
      </w:r>
    </w:p>
    <w:p>
      <w:pPr>
        <w:spacing w:before="0" w:after="0" w:line="260" w:lineRule="exact"/>
        <w:shd w:val="clear" w:fill="16314F"/>
        <w:jc w:val="center"/>
      </w:pPr>
      <w:r>
        <w:rPr>
          <w:rFonts w:hint="eastAsia" w:ascii="Arial" w:hAnsi="Arial" w:eastAsia="Arial" w:cs="Arial"/>
          <w:color w:val="D9A85A"/>
          <w:sz w:val="17"/>
          <w:szCs w:val="17"/>
          <w:lang w:val="en-US" w:eastAsia="zh-CN"/>
        </w:rPr>
        <w:t xml:space="preserve">SAFETY DATA SHEET</w:t>
      </w:r>
    </w:p>
    <w:p>
      <w:pPr>
        <w:spacing w:before="0" w:after="0" w:line="60" w:lineRule="exact"/>
        <w:shd w:val="clear" w:fill="C8923C"/>
      </w:pPr>
    </w:p>
    <w:p>
      <w:pPr>
        <w:spacing w:before="120" w:after="0" w:line="360" w:lineRule="exact"/>
        <w:shd w:val="clear" w:fill="F5F7FA"/>
        <w:pBdr>
          <w:left w:val="single" w:sz="18" w:space="6" w:color="C8923C"/>
        </w:pBdr>
      </w:pPr>
      <w:r>
        <w:rPr>
          <w:rFonts w:hint="eastAsia" w:ascii="Arial" w:hAnsi="Arial" w:eastAsia="微软雅黑" w:cs="Arial"/>
          <w:b/>
          <w:color w:val="16314F"/>
          <w:sz w:val="21"/>
          <w:szCs w:val="21"/>
          <w:lang w:val="en-US" w:eastAsia="zh-CN"/>
        </w:rPr>
        <w:t xml:space="preserve">产品名称：YC-BLF-17　热塑性丙烯酸树脂（固体·粉/粒状）</w:t>
      </w:r>
    </w:p>
    <w:p>
      <w:pPr>
        <w:spacing w:before="0" w:after="0" w:line="320" w:lineRule="exact"/>
      </w:pPr>
      <w:r>
        <w:rPr>
          <w:rFonts w:hint="eastAsia" w:ascii="Arial" w:hAnsi="Arial" w:eastAsia="微软雅黑" w:cs="Arial"/>
          <w:color w:val="1A1A1A"/>
          <w:sz w:val="19"/>
          <w:szCs w:val="19"/>
          <w:lang w:val="en-US" w:eastAsia="zh-CN"/>
        </w:rPr>
        <w:t xml:space="preserve">修订日期：2026年10月24日　　最初编制日期：2026年10月24日</w:t>
      </w:r>
    </w:p>
    <w:p>
      <w:pPr>
        <w:spacing w:before="0" w:after="0" w:line="320" w:lineRule="exact"/>
      </w:pPr>
      <w:r>
        <w:rPr>
          <w:rFonts w:hint="eastAsia" w:ascii="Arial" w:hAnsi="Arial" w:eastAsia="微软雅黑" w:cs="Arial"/>
          <w:color w:val="1A1A1A"/>
          <w:sz w:val="19"/>
          <w:szCs w:val="19"/>
          <w:lang w:val="en-US" w:eastAsia="zh-CN"/>
        </w:rPr>
        <w:t xml:space="preserve">按照 GB/T 16483、GB/T 17519 编制　　版本：1.0</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第一项　化学品及企业标识</w:t>
      </w:r>
    </w:p>
    <w:p>
      <w:pPr>
        <w:spacing w:before="0" w:after="0" w:line="320" w:lineRule="exact"/>
      </w:pPr>
      <w:r>
        <w:rPr>
          <w:rFonts w:hint="eastAsia" w:ascii="Arial" w:hAnsi="Arial" w:eastAsia="微软雅黑" w:cs="Arial"/>
          <w:color w:val="1A1A1A"/>
          <w:sz w:val="21"/>
          <w:szCs w:val="21"/>
          <w:lang w:val="en-US" w:eastAsia="zh-CN"/>
        </w:rPr>
        <w:t xml:space="preserve">化学品中文名称：热塑性丙烯酸树脂（固体·粉/粒状）</w:t>
      </w:r>
    </w:p>
    <w:p>
      <w:pPr>
        <w:spacing w:before="0" w:after="0" w:line="320" w:lineRule="exact"/>
      </w:pPr>
      <w:r>
        <w:rPr>
          <w:rFonts w:hint="eastAsia" w:ascii="Arial" w:hAnsi="Arial" w:eastAsia="微软雅黑" w:cs="Arial"/>
          <w:color w:val="1A1A1A"/>
          <w:sz w:val="21"/>
          <w:szCs w:val="21"/>
          <w:lang w:val="en-US" w:eastAsia="zh-CN"/>
        </w:rPr>
        <w:t xml:space="preserve">型号：YC-BLF-17</w:t>
      </w:r>
    </w:p>
    <w:p>
      <w:pPr>
        <w:spacing w:before="0" w:after="0" w:line="320" w:lineRule="exact"/>
      </w:pPr>
      <w:r>
        <w:rPr>
          <w:rFonts w:hint="eastAsia" w:ascii="Arial" w:hAnsi="Arial" w:eastAsia="微软雅黑" w:cs="Arial"/>
          <w:color w:val="1A1A1A"/>
          <w:sz w:val="21"/>
          <w:szCs w:val="21"/>
          <w:lang w:val="en-US" w:eastAsia="zh-CN"/>
        </w:rPr>
        <w:t xml:space="preserve">供应商名称：曜尘新材料科技（上海）有限公司</w:t>
      </w:r>
    </w:p>
    <w:p>
      <w:pPr>
        <w:spacing w:before="0" w:after="0" w:line="320" w:lineRule="exact"/>
      </w:pPr>
      <w:r>
        <w:rPr>
          <w:rFonts w:hint="eastAsia" w:ascii="Arial" w:hAnsi="Arial" w:eastAsia="微软雅黑" w:cs="Arial"/>
          <w:color w:val="1A1A1A"/>
          <w:sz w:val="21"/>
          <w:szCs w:val="21"/>
          <w:lang w:val="en-US" w:eastAsia="zh-CN"/>
        </w:rPr>
        <w:t xml:space="preserve">地址：上海市松江区文翔东路58号5幢401室</w:t>
      </w:r>
    </w:p>
    <w:p>
      <w:pPr>
        <w:spacing w:before="0" w:after="0" w:line="320" w:lineRule="exact"/>
      </w:pPr>
      <w:r>
        <w:rPr>
          <w:rFonts w:hint="eastAsia" w:ascii="Arial" w:hAnsi="Arial" w:eastAsia="微软雅黑" w:cs="Arial"/>
          <w:color w:val="1A1A1A"/>
          <w:sz w:val="21"/>
          <w:szCs w:val="21"/>
          <w:lang w:val="en-US" w:eastAsia="zh-CN"/>
        </w:rPr>
        <w:t xml:space="preserve">联系人：祁磊磊　电话：18621528861</w:t>
      </w:r>
    </w:p>
    <w:p>
      <w:pPr>
        <w:spacing w:before="0" w:after="0" w:line="320" w:lineRule="exact"/>
      </w:pPr>
      <w:r>
        <w:rPr>
          <w:rFonts w:hint="eastAsia" w:ascii="Arial" w:hAnsi="Arial" w:eastAsia="微软雅黑" w:cs="Arial"/>
          <w:color w:val="1A1A1A"/>
          <w:sz w:val="21"/>
          <w:szCs w:val="21"/>
          <w:lang w:val="en-US" w:eastAsia="zh-CN"/>
        </w:rPr>
        <w:t xml:space="preserve">技术说明书版本：2026年10月24日</w:t>
      </w:r>
    </w:p>
    <w:p>
      <w:pPr>
        <w:spacing w:before="0" w:after="0" w:line="320" w:lineRule="exact"/>
      </w:pPr>
      <w:r>
        <w:rPr>
          <w:rFonts w:hint="eastAsia" w:ascii="Arial" w:hAnsi="Arial" w:eastAsia="微软雅黑" w:cs="Arial"/>
          <w:color w:val="1A1A1A"/>
          <w:sz w:val="21"/>
          <w:szCs w:val="21"/>
          <w:lang w:val="en-US" w:eastAsia="zh-CN"/>
        </w:rPr>
        <w:t xml:space="preserve">资料部门：安全，健康和环境保护部门</w:t>
      </w:r>
    </w:p>
    <w:p>
      <w:pPr>
        <w:spacing w:before="0" w:after="0" w:line="320" w:lineRule="exact"/>
      </w:pPr>
      <w:r>
        <w:rPr>
          <w:rFonts w:hint="eastAsia" w:ascii="Arial" w:hAnsi="Arial" w:eastAsia="微软雅黑" w:cs="Arial"/>
          <w:color w:val="1A1A1A"/>
          <w:sz w:val="21"/>
          <w:szCs w:val="21"/>
          <w:lang w:val="en-US" w:eastAsia="zh-CN"/>
        </w:rPr>
        <w:t xml:space="preserve">紧急电话：+8615900447637</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第二项　危险性概述</w:t>
      </w:r>
    </w:p>
    <w:p>
      <w:pPr>
        <w:spacing w:before="0" w:after="0" w:line="320" w:lineRule="exact"/>
      </w:pPr>
      <w:r>
        <w:rPr>
          <w:rFonts w:hint="eastAsia" w:ascii="Arial" w:hAnsi="Arial" w:eastAsia="微软雅黑" w:cs="Arial"/>
          <w:color w:val="1A1A1A"/>
          <w:sz w:val="21"/>
          <w:szCs w:val="21"/>
          <w:lang w:val="en-US" w:eastAsia="zh-CN"/>
        </w:rPr>
        <w:t xml:space="preserve">GHS 危险性类别</w:t>
      </w:r>
    </w:p>
    <w:p>
      <w:pPr>
        <w:spacing w:before="0" w:after="0" w:line="320" w:lineRule="exact"/>
      </w:pPr>
      <w:r>
        <w:rPr>
          <w:rFonts w:hint="eastAsia" w:ascii="Arial" w:hAnsi="Arial" w:eastAsia="微软雅黑" w:cs="Arial"/>
          <w:color w:val="1A1A1A"/>
          <w:sz w:val="21"/>
          <w:szCs w:val="21"/>
          <w:lang w:val="en-US" w:eastAsia="zh-CN"/>
        </w:rPr>
        <w:t xml:space="preserve">根据 GB 30000 系列标准及 EC 1272/2008 判定，本产品为固体丙烯酸树脂（聚合物），常温下为固态、不易燃（高温可燃）、低毒，未被列为危险物质，不属于 GHS 分类。</w:t>
      </w:r>
    </w:p>
    <w:p>
      <w:pPr>
        <w:spacing w:before="0" w:after="0" w:line="320" w:lineRule="exact"/>
      </w:pPr>
      <w:r>
        <w:rPr>
          <w:rFonts w:hint="eastAsia" w:ascii="Arial" w:hAnsi="Arial" w:eastAsia="微软雅黑" w:cs="Arial"/>
          <w:color w:val="1A1A1A"/>
          <w:sz w:val="21"/>
          <w:szCs w:val="21"/>
          <w:lang w:val="en-US" w:eastAsia="zh-CN"/>
        </w:rPr>
        <w:t xml:space="preserve">标签要素：无 GHS 标签。</w:t>
      </w:r>
    </w:p>
    <w:p>
      <w:pPr>
        <w:spacing w:before="0" w:after="0" w:line="320" w:lineRule="exact"/>
      </w:pPr>
      <w:r>
        <w:rPr>
          <w:rFonts w:hint="eastAsia" w:ascii="Arial" w:hAnsi="Arial" w:eastAsia="微软雅黑" w:cs="Arial"/>
          <w:color w:val="1A1A1A"/>
          <w:sz w:val="21"/>
          <w:szCs w:val="21"/>
          <w:lang w:val="en-US" w:eastAsia="zh-CN"/>
        </w:rPr>
        <w:t xml:space="preserve">警示词：无</w:t>
      </w:r>
    </w:p>
    <w:p>
      <w:pPr>
        <w:spacing w:before="0" w:after="0" w:line="320" w:lineRule="exact"/>
      </w:pPr>
      <w:r>
        <w:rPr>
          <w:rFonts w:hint="eastAsia" w:ascii="Arial" w:hAnsi="Arial" w:eastAsia="微软雅黑" w:cs="Arial"/>
          <w:color w:val="1A1A1A"/>
          <w:sz w:val="21"/>
          <w:szCs w:val="21"/>
          <w:lang w:val="en-US" w:eastAsia="zh-CN"/>
        </w:rPr>
        <w:t xml:space="preserve">危险性说明：粉尘对眼睛和呼吸道可能有轻微刺激；避免粉尘吸入与积聚。</w:t>
      </w:r>
    </w:p>
    <w:p>
      <w:pPr>
        <w:spacing w:before="0" w:after="0" w:line="320" w:lineRule="exact"/>
      </w:pPr>
      <w:r>
        <w:rPr>
          <w:rFonts w:hint="eastAsia" w:ascii="Arial" w:hAnsi="Arial" w:eastAsia="微软雅黑" w:cs="Arial"/>
          <w:color w:val="1A1A1A"/>
          <w:sz w:val="21"/>
          <w:szCs w:val="21"/>
          <w:lang w:val="en-US" w:eastAsia="zh-CN"/>
        </w:rPr>
        <w:t xml:space="preserve">预防措施：远离儿童；避免粉尘飞扬；现场禁止烟火。</w:t>
      </w:r>
    </w:p>
    <w:p>
      <w:pPr>
        <w:spacing w:before="0" w:after="0" w:line="320" w:lineRule="exact"/>
      </w:pPr>
      <w:r>
        <w:rPr>
          <w:rFonts w:hint="eastAsia" w:ascii="Arial" w:hAnsi="Arial" w:eastAsia="微软雅黑" w:cs="Arial"/>
          <w:color w:val="1A1A1A"/>
          <w:sz w:val="21"/>
          <w:szCs w:val="21"/>
          <w:lang w:val="en-US" w:eastAsia="zh-CN"/>
        </w:rPr>
        <w:t xml:space="preserve">事故响应：如进入眼睛，用水小心冲洗几分钟，如有不适立即就医。</w:t>
      </w:r>
    </w:p>
    <w:p>
      <w:pPr>
        <w:spacing w:before="0" w:after="0" w:line="320" w:lineRule="exact"/>
      </w:pPr>
      <w:r>
        <w:rPr>
          <w:rFonts w:hint="eastAsia" w:ascii="Arial" w:hAnsi="Arial" w:eastAsia="微软雅黑" w:cs="Arial"/>
          <w:color w:val="1A1A1A"/>
          <w:sz w:val="21"/>
          <w:szCs w:val="21"/>
          <w:lang w:val="en-US" w:eastAsia="zh-CN"/>
        </w:rPr>
        <w:t xml:space="preserve">其它危害：PBT 及 vPvB 评价结果：不适用</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第三项　成分组成</w:t>
      </w:r>
    </w:p>
    <w:p>
      <w:pPr>
        <w:spacing w:before="0" w:after="0" w:line="320" w:lineRule="exact"/>
      </w:pPr>
      <w:r>
        <w:rPr>
          <w:rFonts w:hint="eastAsia" w:ascii="Arial" w:hAnsi="Arial" w:eastAsia="微软雅黑" w:cs="Arial"/>
          <w:color w:val="1A1A1A"/>
          <w:sz w:val="21"/>
          <w:szCs w:val="21"/>
          <w:lang w:val="en-US" w:eastAsia="zh-CN"/>
        </w:rPr>
        <w:t xml:space="preserve">化学特性：聚合物（均聚物/共聚物）</w:t>
      </w:r>
    </w:p>
    <w:tbl>
      <w:tblPr>
        <w:tblW w:w="0" w:type="auto"/>
        <w:tblBorders>
          <w:top w:val="single" w:sz="4" w:color="E0E3E8"/>
          <w:left w:val="single" w:sz="4" w:color="E0E3E8"/>
          <w:bottom w:val="single" w:sz="4" w:color="E0E3E8"/>
          <w:right w:val="single" w:sz="4" w:color="E0E3E8"/>
          <w:insideH w:val="single" w:sz="4" w:color="E0E3E8"/>
          <w:insideV w:val="single" w:sz="4" w:color="E0E3E8"/>
        </w:tblBorders>
      </w:tblPr>
      <w:tr>
        <w:tc>
          <w:tcPr>
            <w:tcW w:w="42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化学名称</w:t>
            </w:r>
          </w:p>
        </w:tc>
        <w:tc>
          <w:tcPr>
            <w:tcW w:w="18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含量%</w:t>
            </w:r>
          </w:p>
        </w:tc>
        <w:tc>
          <w:tcPr>
            <w:tcW w:w="26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成分编号CAS</w:t>
            </w:r>
          </w:p>
        </w:tc>
      </w:tr>
      <w:tr>
        <w:tc>
          <w:tcPr>
            <w:tcW w:w="4200" w:type="dxa"/>
            <w:shd w:val="clear" w:fill="F5F7FA"/>
            <w:vAlign w:val="center"/>
          </w:tcPr>
          <w:p>
            <w:pPr>
              <w:spacing w:before="0" w:after="0" w:line="300" w:lineRule="atLeast"/>
            </w:pPr>
            <w:r>
              <w:rPr>
                <w:rFonts w:hint="eastAsia" w:ascii="Arial" w:hAnsi="Arial" w:eastAsia="Arial" w:cs="Arial"/>
                <w:b/>
                <w:color w:val="16314F"/>
                <w:sz w:val="20"/>
                <w:szCs w:val="20"/>
                <w:lang w:val="en-US" w:eastAsia="zh-CN"/>
              </w:rPr>
              <w:t xml:space="preserve">丙烯酸树脂（丙烯酸酯共聚物）</w:t>
            </w:r>
          </w:p>
        </w:tc>
        <w:tc>
          <w:tcPr>
            <w:tcW w:w="1800" w:type="dxa"/>
            <w:vAlign w:val="center"/>
          </w:tcPr>
          <w:p>
            <w:pPr>
              <w:spacing w:before="0" w:after="0" w:line="300" w:lineRule="atLeast"/>
            </w:pPr>
            <w:r>
              <w:rPr>
                <w:rFonts w:hint="eastAsia" w:ascii="Arial" w:hAnsi="Arial" w:eastAsia="Arial" w:cs="Arial"/>
                <w:sz w:val="20"/>
                <w:szCs w:val="20"/>
                <w:lang w:val="en-US" w:eastAsia="zh-CN"/>
              </w:rPr>
              <w:t xml:space="preserve">100</w:t>
            </w:r>
          </w:p>
        </w:tc>
        <w:tc>
          <w:tcPr>
            <w:tcW w:w="2600" w:type="dxa"/>
            <w:vAlign w:val="center"/>
          </w:tcPr>
          <w:p>
            <w:pPr>
              <w:spacing w:before="0" w:after="0" w:line="300" w:lineRule="atLeast"/>
            </w:pPr>
            <w:r>
              <w:rPr>
                <w:rFonts w:hint="eastAsia" w:ascii="Arial" w:hAnsi="Arial" w:eastAsia="Arial" w:cs="Arial"/>
                <w:sz w:val="20"/>
                <w:szCs w:val="20"/>
                <w:lang w:val="en-US" w:eastAsia="zh-CN"/>
              </w:rPr>
              <w:t xml:space="preserve">不适用（聚合物）</w:t>
            </w:r>
          </w:p>
        </w:tc>
      </w:tr>
    </w:tbl>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第四项　急救措施</w:t>
      </w:r>
    </w:p>
    <w:p>
      <w:pPr>
        <w:spacing w:before="0" w:after="0" w:line="320" w:lineRule="exact"/>
      </w:pPr>
      <w:r>
        <w:rPr>
          <w:rFonts w:hint="eastAsia" w:ascii="Arial" w:hAnsi="Arial" w:eastAsia="微软雅黑" w:cs="Arial"/>
          <w:color w:val="1A1A1A"/>
          <w:sz w:val="21"/>
          <w:szCs w:val="21"/>
          <w:lang w:val="en-US" w:eastAsia="zh-CN"/>
        </w:rPr>
        <w:t xml:space="preserve">吸入过量后：将吸入人员安置至空气流通处并保持安静。</w:t>
      </w:r>
    </w:p>
    <w:p>
      <w:pPr>
        <w:spacing w:before="0" w:after="0" w:line="320" w:lineRule="exact"/>
      </w:pPr>
      <w:r>
        <w:rPr>
          <w:rFonts w:hint="eastAsia" w:ascii="Arial" w:hAnsi="Arial" w:eastAsia="微软雅黑" w:cs="Arial"/>
          <w:color w:val="1A1A1A"/>
          <w:sz w:val="21"/>
          <w:szCs w:val="21"/>
          <w:lang w:val="en-US" w:eastAsia="zh-CN"/>
        </w:rPr>
        <w:t xml:space="preserve">皮肤接触后：马上用水和肥皂进行彻底的冲洗。如皮肤疼痛立即就医。</w:t>
      </w:r>
    </w:p>
    <w:p>
      <w:pPr>
        <w:spacing w:before="0" w:after="0" w:line="320" w:lineRule="exact"/>
      </w:pPr>
      <w:r>
        <w:rPr>
          <w:rFonts w:hint="eastAsia" w:ascii="Arial" w:hAnsi="Arial" w:eastAsia="微软雅黑" w:cs="Arial"/>
          <w:color w:val="1A1A1A"/>
          <w:sz w:val="21"/>
          <w:szCs w:val="21"/>
          <w:lang w:val="en-US" w:eastAsia="zh-CN"/>
        </w:rPr>
        <w:t xml:space="preserve">眼睛接触后：在流动的水下冲洗眼睛。保护未受伤的眼睛。并立即就医。</w:t>
      </w:r>
    </w:p>
    <w:p>
      <w:pPr>
        <w:spacing w:before="0" w:after="0" w:line="320" w:lineRule="exact"/>
      </w:pPr>
      <w:r>
        <w:rPr>
          <w:rFonts w:hint="eastAsia" w:ascii="Arial" w:hAnsi="Arial" w:eastAsia="微软雅黑" w:cs="Arial"/>
          <w:color w:val="1A1A1A"/>
          <w:sz w:val="21"/>
          <w:szCs w:val="21"/>
          <w:lang w:val="en-US" w:eastAsia="zh-CN"/>
        </w:rPr>
        <w:t xml:space="preserve">误食后：不要催吐，立即就医。</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第五项　消防措施</w:t>
      </w:r>
    </w:p>
    <w:p>
      <w:pPr>
        <w:spacing w:before="0" w:after="0" w:line="320" w:lineRule="exact"/>
      </w:pPr>
      <w:r>
        <w:rPr>
          <w:rFonts w:hint="eastAsia" w:ascii="Arial" w:hAnsi="Arial" w:eastAsia="微软雅黑" w:cs="Arial"/>
          <w:color w:val="1A1A1A"/>
          <w:sz w:val="21"/>
          <w:szCs w:val="21"/>
          <w:lang w:val="en-US" w:eastAsia="zh-CN"/>
        </w:rPr>
        <w:t xml:space="preserve">适用的灭火介质：本产品常温不易燃，可按周围火源选择灭火介质（水、干粉、泡沫、二氧化碳均可）。</w:t>
      </w:r>
    </w:p>
    <w:p>
      <w:pPr>
        <w:spacing w:before="0" w:after="0" w:line="320" w:lineRule="exact"/>
      </w:pPr>
      <w:r>
        <w:rPr>
          <w:rFonts w:hint="eastAsia" w:ascii="Arial" w:hAnsi="Arial" w:eastAsia="微软雅黑" w:cs="Arial"/>
          <w:color w:val="1A1A1A"/>
          <w:sz w:val="21"/>
          <w:szCs w:val="21"/>
          <w:lang w:val="en-US" w:eastAsia="zh-CN"/>
        </w:rPr>
        <w:t xml:space="preserve">不适用的灭火方式：无特殊限制。</w:t>
      </w:r>
    </w:p>
    <w:p>
      <w:pPr>
        <w:spacing w:before="0" w:after="0" w:line="320" w:lineRule="exact"/>
      </w:pPr>
      <w:r>
        <w:rPr>
          <w:rFonts w:hint="eastAsia" w:ascii="Arial" w:hAnsi="Arial" w:eastAsia="微软雅黑" w:cs="Arial"/>
          <w:color w:val="1A1A1A"/>
          <w:sz w:val="21"/>
          <w:szCs w:val="21"/>
          <w:lang w:val="en-US" w:eastAsia="zh-CN"/>
        </w:rPr>
        <w:t xml:space="preserve">消防人员灭火时，需配带呼吸保护装置/防毒面具、消防服。</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第六项　泄露应急处理</w:t>
      </w:r>
    </w:p>
    <w:p>
      <w:pPr>
        <w:spacing w:before="0" w:after="0" w:line="320" w:lineRule="exact"/>
      </w:pPr>
      <w:r>
        <w:rPr>
          <w:rFonts w:hint="eastAsia" w:ascii="Arial" w:hAnsi="Arial" w:eastAsia="微软雅黑" w:cs="Arial"/>
          <w:color w:val="1A1A1A"/>
          <w:sz w:val="21"/>
          <w:szCs w:val="21"/>
          <w:lang w:val="en-US" w:eastAsia="zh-CN"/>
        </w:rPr>
        <w:t xml:space="preserve">人员的安全防护：穿戴保护装备，让未受到保护的人员离开；消除所有点火源。</w:t>
      </w:r>
    </w:p>
    <w:p>
      <w:pPr>
        <w:spacing w:before="0" w:after="0" w:line="320" w:lineRule="exact"/>
      </w:pPr>
      <w:r>
        <w:rPr>
          <w:rFonts w:hint="eastAsia" w:ascii="Arial" w:hAnsi="Arial" w:eastAsia="微软雅黑" w:cs="Arial"/>
          <w:color w:val="1A1A1A"/>
          <w:sz w:val="21"/>
          <w:szCs w:val="21"/>
          <w:lang w:val="en-US" w:eastAsia="zh-CN"/>
        </w:rPr>
        <w:t xml:space="preserve">环境保护措施：不要让其进入下水管道/地下水。</w:t>
      </w:r>
    </w:p>
    <w:p>
      <w:pPr>
        <w:spacing w:before="0" w:after="0" w:line="320" w:lineRule="exact"/>
      </w:pPr>
      <w:r>
        <w:rPr>
          <w:rFonts w:hint="eastAsia" w:ascii="Arial" w:hAnsi="Arial" w:eastAsia="微软雅黑" w:cs="Arial"/>
          <w:color w:val="1A1A1A"/>
          <w:sz w:val="21"/>
          <w:szCs w:val="21"/>
          <w:lang w:val="en-US" w:eastAsia="zh-CN"/>
        </w:rPr>
        <w:t xml:space="preserve">防止泄露/清洁的措施：清扫收集泄漏固体，避免扬尘，回收或按当地法规处置。</w:t>
      </w:r>
    </w:p>
    <w:p>
      <w:pPr>
        <w:spacing w:before="0" w:after="0" w:line="320" w:lineRule="exact"/>
      </w:pPr>
      <w:r>
        <w:rPr>
          <w:rFonts w:hint="eastAsia" w:ascii="Arial" w:hAnsi="Arial" w:eastAsia="微软雅黑" w:cs="Arial"/>
          <w:color w:val="1A1A1A"/>
          <w:sz w:val="21"/>
          <w:szCs w:val="21"/>
          <w:lang w:val="en-US" w:eastAsia="zh-CN"/>
        </w:rPr>
        <w:t xml:space="preserve">其它参照部分：安全处理参阅第七项；个人防护参阅第八项；弃置参阅第十三项。</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第七项　操作处置与储存</w:t>
      </w:r>
    </w:p>
    <w:p>
      <w:pPr>
        <w:spacing w:before="0" w:after="0" w:line="320" w:lineRule="exact"/>
      </w:pPr>
      <w:r>
        <w:rPr>
          <w:rFonts w:hint="eastAsia" w:ascii="Arial" w:hAnsi="Arial" w:eastAsia="微软雅黑" w:cs="Arial"/>
          <w:color w:val="1A1A1A"/>
          <w:sz w:val="21"/>
          <w:szCs w:val="21"/>
          <w:lang w:val="en-US" w:eastAsia="zh-CN"/>
        </w:rPr>
        <w:t xml:space="preserve">操作处置：避免粉尘飞扬与积聚；现场禁止烟火；操作后清洗双手；禁止在操作场所饮食。</w:t>
      </w:r>
    </w:p>
    <w:p>
      <w:pPr>
        <w:spacing w:before="0" w:after="0" w:line="320" w:lineRule="exact"/>
      </w:pPr>
      <w:r>
        <w:rPr>
          <w:rFonts w:hint="eastAsia" w:ascii="Arial" w:hAnsi="Arial" w:eastAsia="微软雅黑" w:cs="Arial"/>
          <w:color w:val="1A1A1A"/>
          <w:sz w:val="21"/>
          <w:szCs w:val="21"/>
          <w:lang w:val="en-US" w:eastAsia="zh-CN"/>
        </w:rPr>
        <w:t xml:space="preserve">储存：储存在阴凉、干燥、通风的仓库内，防潮防日晒；包装密封。</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第八项　接触控制和个体保护</w:t>
      </w:r>
    </w:p>
    <w:p>
      <w:pPr>
        <w:spacing w:before="0" w:after="0" w:line="320" w:lineRule="exact"/>
      </w:pPr>
      <w:r>
        <w:rPr>
          <w:rFonts w:hint="eastAsia" w:ascii="Arial" w:hAnsi="Arial" w:eastAsia="微软雅黑" w:cs="Arial"/>
          <w:color w:val="1A1A1A"/>
          <w:sz w:val="21"/>
          <w:szCs w:val="21"/>
          <w:lang w:val="en-US" w:eastAsia="zh-CN"/>
        </w:rPr>
        <w:t xml:space="preserve">最高容许浓度：未确定的</w:t>
      </w:r>
    </w:p>
    <w:p>
      <w:pPr>
        <w:spacing w:before="0" w:after="0" w:line="320" w:lineRule="exact"/>
      </w:pPr>
      <w:r>
        <w:rPr>
          <w:rFonts w:hint="eastAsia" w:ascii="Arial" w:hAnsi="Arial" w:eastAsia="微软雅黑" w:cs="Arial"/>
          <w:color w:val="1A1A1A"/>
          <w:sz w:val="21"/>
          <w:szCs w:val="21"/>
          <w:lang w:val="en-US" w:eastAsia="zh-CN"/>
        </w:rPr>
        <w:t xml:space="preserve">工程控制：车间内加强通风，工作需穿戴防护用品。</w:t>
      </w:r>
    </w:p>
    <w:p>
      <w:pPr>
        <w:spacing w:before="0" w:after="0" w:line="320" w:lineRule="exact"/>
      </w:pPr>
      <w:r>
        <w:rPr>
          <w:rFonts w:hint="eastAsia" w:ascii="Arial" w:hAnsi="Arial" w:eastAsia="微软雅黑" w:cs="Arial"/>
          <w:color w:val="1A1A1A"/>
          <w:sz w:val="21"/>
          <w:szCs w:val="21"/>
          <w:lang w:val="en-US" w:eastAsia="zh-CN"/>
        </w:rPr>
        <w:t xml:space="preserve">- 呼吸系统防护：一般无需特殊呼吸防护，粉尘环境建议佩戴防尘口罩。</w:t>
      </w:r>
    </w:p>
    <w:p>
      <w:pPr>
        <w:spacing w:before="0" w:after="0" w:line="320" w:lineRule="exact"/>
      </w:pPr>
      <w:r>
        <w:rPr>
          <w:rFonts w:hint="eastAsia" w:ascii="Arial" w:hAnsi="Arial" w:eastAsia="微软雅黑" w:cs="Arial"/>
          <w:color w:val="1A1A1A"/>
          <w:sz w:val="21"/>
          <w:szCs w:val="21"/>
          <w:lang w:val="en-US" w:eastAsia="zh-CN"/>
        </w:rPr>
        <w:t xml:space="preserve">- 眼面保护：戴化学安全防护眼镜</w:t>
      </w:r>
    </w:p>
    <w:p>
      <w:pPr>
        <w:spacing w:before="0" w:after="0" w:line="320" w:lineRule="exact"/>
      </w:pPr>
      <w:r>
        <w:rPr>
          <w:rFonts w:hint="eastAsia" w:ascii="Arial" w:hAnsi="Arial" w:eastAsia="微软雅黑" w:cs="Arial"/>
          <w:color w:val="1A1A1A"/>
          <w:sz w:val="21"/>
          <w:szCs w:val="21"/>
          <w:lang w:val="en-US" w:eastAsia="zh-CN"/>
        </w:rPr>
        <w:t xml:space="preserve">- 手的防护：戴一般防护手套。</w:t>
      </w:r>
    </w:p>
    <w:p>
      <w:pPr>
        <w:spacing w:before="0" w:after="0" w:line="320" w:lineRule="exact"/>
      </w:pPr>
      <w:r>
        <w:rPr>
          <w:rFonts w:hint="eastAsia" w:ascii="Arial" w:hAnsi="Arial" w:eastAsia="微软雅黑" w:cs="Arial"/>
          <w:color w:val="1A1A1A"/>
          <w:sz w:val="21"/>
          <w:szCs w:val="21"/>
          <w:lang w:val="en-US" w:eastAsia="zh-CN"/>
        </w:rPr>
        <w:t xml:space="preserve">- 皮肤和身体防护：穿着一般工作服。</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第九项　物理及化学特性</w:t>
      </w:r>
    </w:p>
    <w:p>
      <w:pPr>
        <w:spacing w:before="0" w:after="0" w:line="320" w:lineRule="exact"/>
      </w:pPr>
      <w:r>
        <w:rPr>
          <w:rFonts w:hint="eastAsia" w:ascii="Arial" w:hAnsi="Arial" w:eastAsia="微软雅黑" w:cs="Arial"/>
          <w:color w:val="1A1A1A"/>
          <w:sz w:val="21"/>
          <w:szCs w:val="21"/>
          <w:lang w:val="en-US" w:eastAsia="zh-CN"/>
        </w:rPr>
        <w:t xml:space="preserve">物质状态：　固体（粉状/粒状颗粒）</w:t>
      </w:r>
    </w:p>
    <w:p>
      <w:pPr>
        <w:spacing w:before="0" w:after="0" w:line="320" w:lineRule="exact"/>
      </w:pPr>
      <w:r>
        <w:rPr>
          <w:rFonts w:hint="eastAsia" w:ascii="Arial" w:hAnsi="Arial" w:eastAsia="微软雅黑" w:cs="Arial"/>
          <w:color w:val="1A1A1A"/>
          <w:sz w:val="21"/>
          <w:szCs w:val="21"/>
          <w:lang w:val="en-US" w:eastAsia="zh-CN"/>
        </w:rPr>
        <w:t xml:space="preserve">颜色：　无色透明至微黄</w:t>
      </w:r>
    </w:p>
    <w:p>
      <w:pPr>
        <w:spacing w:before="0" w:after="0" w:line="320" w:lineRule="exact"/>
      </w:pPr>
      <w:r>
        <w:rPr>
          <w:rFonts w:hint="eastAsia" w:ascii="Arial" w:hAnsi="Arial" w:eastAsia="微软雅黑" w:cs="Arial"/>
          <w:color w:val="1A1A1A"/>
          <w:sz w:val="21"/>
          <w:szCs w:val="21"/>
          <w:lang w:val="en-US" w:eastAsia="zh-CN"/>
        </w:rPr>
        <w:t xml:space="preserve">气味：　几乎无气味</w:t>
      </w:r>
    </w:p>
    <w:p>
      <w:pPr>
        <w:spacing w:before="0" w:after="0" w:line="320" w:lineRule="exact"/>
      </w:pPr>
      <w:r>
        <w:rPr>
          <w:rFonts w:hint="eastAsia" w:ascii="Arial" w:hAnsi="Arial" w:eastAsia="微软雅黑" w:cs="Arial"/>
          <w:color w:val="1A1A1A"/>
          <w:sz w:val="21"/>
          <w:szCs w:val="21"/>
          <w:lang w:val="en-US" w:eastAsia="zh-CN"/>
        </w:rPr>
        <w:t xml:space="preserve">软化点/Tg：　85</w:t>
      </w:r>
    </w:p>
    <w:p>
      <w:pPr>
        <w:spacing w:before="0" w:after="0" w:line="320" w:lineRule="exact"/>
      </w:pPr>
      <w:r>
        <w:rPr>
          <w:rFonts w:hint="eastAsia" w:ascii="Arial" w:hAnsi="Arial" w:eastAsia="微软雅黑" w:cs="Arial"/>
          <w:color w:val="1A1A1A"/>
          <w:sz w:val="21"/>
          <w:szCs w:val="21"/>
          <w:lang w:val="en-US" w:eastAsia="zh-CN"/>
        </w:rPr>
        <w:t xml:space="preserve">密度：　约 1.1 g/cm³</w:t>
      </w:r>
    </w:p>
    <w:p>
      <w:pPr>
        <w:spacing w:before="0" w:after="0" w:line="320" w:lineRule="exact"/>
      </w:pPr>
      <w:r>
        <w:rPr>
          <w:rFonts w:hint="eastAsia" w:ascii="Arial" w:hAnsi="Arial" w:eastAsia="微软雅黑" w:cs="Arial"/>
          <w:color w:val="1A1A1A"/>
          <w:sz w:val="21"/>
          <w:szCs w:val="21"/>
          <w:lang w:val="en-US" w:eastAsia="zh-CN"/>
        </w:rPr>
        <w:t xml:space="preserve">闪点：　不适用（固体）</w:t>
      </w:r>
    </w:p>
    <w:p>
      <w:pPr>
        <w:spacing w:before="0" w:after="0" w:line="320" w:lineRule="exact"/>
      </w:pPr>
      <w:r>
        <w:rPr>
          <w:rFonts w:hint="eastAsia" w:ascii="Arial" w:hAnsi="Arial" w:eastAsia="微软雅黑" w:cs="Arial"/>
          <w:color w:val="1A1A1A"/>
          <w:sz w:val="21"/>
          <w:szCs w:val="21"/>
          <w:lang w:val="en-US" w:eastAsia="zh-CN"/>
        </w:rPr>
        <w:t xml:space="preserve">溶解性：　溶于酯类、酮类、芳香烃等有机溶剂，不溶于水</w:t>
      </w:r>
    </w:p>
    <w:p>
      <w:pPr>
        <w:spacing w:before="0" w:after="0" w:line="320" w:lineRule="exact"/>
      </w:pPr>
      <w:r>
        <w:rPr>
          <w:rFonts w:hint="eastAsia" w:ascii="Arial" w:hAnsi="Arial" w:eastAsia="微软雅黑" w:cs="Arial"/>
          <w:color w:val="1A1A1A"/>
          <w:sz w:val="21"/>
          <w:szCs w:val="21"/>
          <w:lang w:val="en-US" w:eastAsia="zh-CN"/>
        </w:rPr>
        <w:t xml:space="preserve">挥发分：　≤1.0%</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第十项　稳定性和反应性</w:t>
      </w:r>
    </w:p>
    <w:p>
      <w:pPr>
        <w:spacing w:before="0" w:after="0" w:line="320" w:lineRule="exact"/>
      </w:pPr>
      <w:r>
        <w:rPr>
          <w:rFonts w:hint="eastAsia" w:ascii="Arial" w:hAnsi="Arial" w:eastAsia="微软雅黑" w:cs="Arial"/>
          <w:color w:val="1A1A1A"/>
          <w:sz w:val="21"/>
          <w:szCs w:val="21"/>
          <w:lang w:val="en-US" w:eastAsia="zh-CN"/>
        </w:rPr>
        <w:t xml:space="preserve">稳定性：稳定，按照要求使用不会产生分解</w:t>
      </w:r>
    </w:p>
    <w:p>
      <w:pPr>
        <w:spacing w:before="0" w:after="0" w:line="320" w:lineRule="exact"/>
      </w:pPr>
      <w:r>
        <w:rPr>
          <w:rFonts w:hint="eastAsia" w:ascii="Arial" w:hAnsi="Arial" w:eastAsia="微软雅黑" w:cs="Arial"/>
          <w:color w:val="1A1A1A"/>
          <w:sz w:val="21"/>
          <w:szCs w:val="21"/>
          <w:lang w:val="en-US" w:eastAsia="zh-CN"/>
        </w:rPr>
        <w:t xml:space="preserve">有可能的有害反应：与强氧化剂、酸、碱混合时可能产生反应</w:t>
      </w:r>
    </w:p>
    <w:p>
      <w:pPr>
        <w:spacing w:before="0" w:after="0" w:line="320" w:lineRule="exact"/>
      </w:pPr>
      <w:r>
        <w:rPr>
          <w:rFonts w:hint="eastAsia" w:ascii="Arial" w:hAnsi="Arial" w:eastAsia="微软雅黑" w:cs="Arial"/>
          <w:color w:val="1A1A1A"/>
          <w:sz w:val="21"/>
          <w:szCs w:val="21"/>
          <w:lang w:val="en-US" w:eastAsia="zh-CN"/>
        </w:rPr>
        <w:t xml:space="preserve">有害分解物质：一氧化碳，二氧化碳</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第十一项　毒理学资料</w:t>
      </w:r>
    </w:p>
    <w:p>
      <w:pPr>
        <w:spacing w:before="0" w:after="0" w:line="320" w:lineRule="exact"/>
      </w:pPr>
      <w:r>
        <w:rPr>
          <w:rFonts w:hint="eastAsia" w:ascii="Arial" w:hAnsi="Arial" w:eastAsia="微软雅黑" w:cs="Arial"/>
          <w:color w:val="1A1A1A"/>
          <w:sz w:val="21"/>
          <w:szCs w:val="21"/>
          <w:lang w:val="en-US" w:eastAsia="zh-CN"/>
        </w:rPr>
        <w:t xml:space="preserve">急性毒性：低毒，未确定的。</w:t>
      </w:r>
    </w:p>
    <w:p>
      <w:pPr>
        <w:spacing w:before="0" w:after="0" w:line="320" w:lineRule="exact"/>
      </w:pPr>
      <w:r>
        <w:rPr>
          <w:rFonts w:hint="eastAsia" w:ascii="Arial" w:hAnsi="Arial" w:eastAsia="微软雅黑" w:cs="Arial"/>
          <w:color w:val="1A1A1A"/>
          <w:sz w:val="21"/>
          <w:szCs w:val="21"/>
          <w:lang w:val="en-US" w:eastAsia="zh-CN"/>
        </w:rPr>
        <w:t xml:space="preserve">和皮肤接触时无刺激；与眼睛接触时可能有轻微刺激感觉；没有已知的过敏现象。</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第十二项　生态学信息</w:t>
      </w:r>
    </w:p>
    <w:p>
      <w:pPr>
        <w:spacing w:before="0" w:after="0" w:line="320" w:lineRule="exact"/>
      </w:pPr>
      <w:r>
        <w:rPr>
          <w:rFonts w:hint="eastAsia" w:ascii="Arial" w:hAnsi="Arial" w:eastAsia="微软雅黑" w:cs="Arial"/>
          <w:color w:val="1A1A1A"/>
          <w:sz w:val="21"/>
          <w:szCs w:val="21"/>
          <w:lang w:val="en-US" w:eastAsia="zh-CN"/>
        </w:rPr>
        <w:t xml:space="preserve">本品为固体聚合物，生物降解性低，对水环境危害较低；仍不允许大量进入水体。</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第十三项　废弃处置</w:t>
      </w:r>
    </w:p>
    <w:p>
      <w:pPr>
        <w:spacing w:before="0" w:after="0" w:line="320" w:lineRule="exact"/>
      </w:pPr>
      <w:r>
        <w:rPr>
          <w:rFonts w:hint="eastAsia" w:ascii="Arial" w:hAnsi="Arial" w:eastAsia="微软雅黑" w:cs="Arial"/>
          <w:color w:val="1A1A1A"/>
          <w:sz w:val="21"/>
          <w:szCs w:val="21"/>
          <w:lang w:val="en-US" w:eastAsia="zh-CN"/>
        </w:rPr>
        <w:t xml:space="preserve">废弃处置前应参阅国家和地方有关法规。</w:t>
      </w:r>
    </w:p>
    <w:p>
      <w:pPr>
        <w:spacing w:before="0" w:after="0" w:line="320" w:lineRule="exact"/>
      </w:pPr>
      <w:r>
        <w:rPr>
          <w:rFonts w:hint="eastAsia" w:ascii="Arial" w:hAnsi="Arial" w:eastAsia="微软雅黑" w:cs="Arial"/>
          <w:color w:val="1A1A1A"/>
          <w:sz w:val="21"/>
          <w:szCs w:val="21"/>
          <w:lang w:val="en-US" w:eastAsia="zh-CN"/>
        </w:rPr>
        <w:t xml:space="preserve">废弃化学品：如不能回收利用，需遵照有关废物处理条例处置，不可进入污水系统。</w:t>
      </w:r>
    </w:p>
    <w:p>
      <w:pPr>
        <w:spacing w:before="0" w:after="0" w:line="320" w:lineRule="exact"/>
      </w:pPr>
      <w:r>
        <w:rPr>
          <w:rFonts w:hint="eastAsia" w:ascii="Arial" w:hAnsi="Arial" w:eastAsia="微软雅黑" w:cs="Arial"/>
          <w:color w:val="1A1A1A"/>
          <w:sz w:val="21"/>
          <w:szCs w:val="21"/>
          <w:lang w:val="en-US" w:eastAsia="zh-CN"/>
        </w:rPr>
        <w:t xml:space="preserve">包装：彻底清空包装内的原料，在进行了全面和正确的清洁后可以循环使用。</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第十四项　运输信息</w:t>
      </w:r>
    </w:p>
    <w:p>
      <w:pPr>
        <w:spacing w:before="0" w:after="0" w:line="320" w:lineRule="exact"/>
      </w:pPr>
      <w:r>
        <w:rPr>
          <w:rFonts w:hint="eastAsia" w:ascii="Arial" w:hAnsi="Arial" w:eastAsia="微软雅黑" w:cs="Arial"/>
          <w:color w:val="1A1A1A"/>
          <w:sz w:val="21"/>
          <w:szCs w:val="21"/>
          <w:lang w:val="en-US" w:eastAsia="zh-CN"/>
        </w:rPr>
        <w:t xml:space="preserve">联合国危险货物编号(UN 号)：不适用</w:t>
      </w:r>
    </w:p>
    <w:p>
      <w:pPr>
        <w:spacing w:before="0" w:after="0" w:line="320" w:lineRule="exact"/>
      </w:pPr>
      <w:r>
        <w:rPr>
          <w:rFonts w:hint="eastAsia" w:ascii="Arial" w:hAnsi="Arial" w:eastAsia="微软雅黑" w:cs="Arial"/>
          <w:color w:val="1A1A1A"/>
          <w:sz w:val="21"/>
          <w:szCs w:val="21"/>
          <w:lang w:val="en-US" w:eastAsia="zh-CN"/>
        </w:rPr>
        <w:t xml:space="preserve">联合国危险性分类：不适用　　海运等级：不适用　　包装类别：不适用</w:t>
      </w:r>
    </w:p>
    <w:p>
      <w:pPr>
        <w:spacing w:before="0" w:after="0" w:line="320" w:lineRule="exact"/>
      </w:pPr>
      <w:r>
        <w:rPr>
          <w:rFonts w:hint="eastAsia" w:ascii="Arial" w:hAnsi="Arial" w:eastAsia="微软雅黑" w:cs="Arial"/>
          <w:color w:val="1A1A1A"/>
          <w:sz w:val="21"/>
          <w:szCs w:val="21"/>
          <w:lang w:val="en-US" w:eastAsia="zh-CN"/>
        </w:rPr>
        <w:t xml:space="preserve">包装标志：非危险品</w:t>
      </w:r>
    </w:p>
    <w:p>
      <w:pPr>
        <w:spacing w:before="0" w:after="0" w:line="320" w:lineRule="exact"/>
      </w:pPr>
      <w:r>
        <w:rPr>
          <w:rFonts w:hint="eastAsia" w:ascii="Arial" w:hAnsi="Arial" w:eastAsia="微软雅黑" w:cs="Arial"/>
          <w:color w:val="1A1A1A"/>
          <w:sz w:val="21"/>
          <w:szCs w:val="21"/>
          <w:lang w:val="en-US" w:eastAsia="zh-CN"/>
        </w:rPr>
        <w:t xml:space="preserve">运输注意事项：防潮、防曝晒、防雨淋、防包装破损。</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第十五项　法规信息</w:t>
      </w:r>
    </w:p>
    <w:p>
      <w:pPr>
        <w:spacing w:before="0" w:after="0" w:line="320" w:lineRule="exact"/>
      </w:pPr>
      <w:r>
        <w:rPr>
          <w:rFonts w:hint="eastAsia" w:ascii="Arial" w:hAnsi="Arial" w:eastAsia="微软雅黑" w:cs="Arial"/>
          <w:color w:val="1A1A1A"/>
          <w:sz w:val="21"/>
          <w:szCs w:val="21"/>
          <w:lang w:val="en-US" w:eastAsia="zh-CN"/>
        </w:rPr>
        <w:t xml:space="preserve">《危险化学品安全管理条例》(国务院令第591号)针对危险化学品的安全生产、使用、储存、运输、装卸等方面均作了相应规定。</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第十六项　其他资料</w:t>
      </w:r>
    </w:p>
    <w:p>
      <w:pPr>
        <w:spacing w:before="0" w:after="0" w:line="320" w:lineRule="exact"/>
      </w:pPr>
      <w:r>
        <w:rPr>
          <w:rFonts w:hint="eastAsia" w:ascii="Arial" w:hAnsi="Arial" w:eastAsia="微软雅黑" w:cs="Arial"/>
          <w:color w:val="1A1A1A"/>
          <w:sz w:val="21"/>
          <w:szCs w:val="21"/>
          <w:lang w:val="en-US" w:eastAsia="zh-CN"/>
        </w:rPr>
        <w:t xml:space="preserve">这一资料是基于目前我们的知识，然而，并不能构成对任何产品特性的担保并且不建立一个法律上有效的合同关系。</w:t>
      </w:r>
    </w:p>
    <w:p>
      <w:pPr>
        <w:spacing w:before="0" w:after="0" w:line="320" w:lineRule="exact"/>
      </w:pPr>
      <w:r>
        <w:rPr>
          <w:rFonts w:hint="eastAsia" w:ascii="Arial" w:hAnsi="Arial" w:eastAsia="微软雅黑" w:cs="Arial"/>
          <w:color w:val="1A1A1A"/>
          <w:sz w:val="21"/>
          <w:szCs w:val="21"/>
          <w:lang w:val="en-US" w:eastAsia="zh-CN"/>
        </w:rPr>
        <w:t xml:space="preserve">出具 MSDS 的部门：SHE (安全，健康和环境保护部门)</w:t>
      </w:r>
    </w:p>
    <w:p>
      <w:pPr>
        <w:spacing w:before="0" w:after="0" w:line="320" w:lineRule="exact"/>
      </w:pPr>
      <w:r>
        <w:rPr>
          <w:rFonts w:hint="eastAsia" w:ascii="Arial" w:hAnsi="Arial" w:eastAsia="微软雅黑" w:cs="Arial"/>
          <w:color w:val="1A1A1A"/>
          <w:sz w:val="21"/>
          <w:szCs w:val="21"/>
          <w:lang w:val="en-US" w:eastAsia="zh-CN"/>
        </w:rPr>
        <w:t xml:space="preserve">联络人：祁磊磊（Bruce）　电话：18621528861</w:t>
      </w:r>
    </w:p>
    <w:p>
      <w:pPr>
        <w:spacing w:before="0" w:after="0" w:line="320" w:lineRule="exact"/>
      </w:pPr>
      <w:r>
        <w:rPr>
          <w:rFonts w:hint="eastAsia" w:ascii="Arial" w:hAnsi="Arial" w:eastAsia="微软雅黑" w:cs="Arial"/>
          <w:color w:val="1A1A1A"/>
          <w:sz w:val="21"/>
          <w:szCs w:val="21"/>
          <w:lang w:val="en-US" w:eastAsia="zh-CN"/>
        </w:rPr>
        <w:t xml:space="preserve">曜尘新材料科技（上海）有限公司　地址：上海市松江区文翔东路58号5幢</w:t>
      </w:r>
    </w:p>
    <w:p>
      <w:pPr>
        <w:spacing w:before="0" w:after="0" w:line="320" w:lineRule="exact"/>
      </w:pPr>
      <w:r>
        <w:rPr>
          <w:rFonts w:hint="eastAsia" w:ascii="Arial" w:hAnsi="Arial" w:eastAsia="微软雅黑" w:cs="Arial"/>
          <w:color w:val="1A1A1A"/>
          <w:sz w:val="21"/>
          <w:szCs w:val="21"/>
          <w:lang w:val="en-US" w:eastAsia="zh-CN"/>
        </w:rPr>
        <w:t xml:space="preserve">免责声明：本 MSDS 的信息仅适用于所指定的产品，除非特别指明，对于本产品与其他物质的混合等情况不适用。本资料基于我们目前的知识与经验编制，仅供客户参考，曜尘新材料科技（上海）有限公司不对其在特定用途中的适用性作出担保。</w:t>
      </w:r>
    </w:p>
    <w:sectPr>
      <w:footerReference r:id="rId5" w:type="default"/>
      <w:pgSz w:w="11910" w:h="16840"/>
      <w:pgMar w:top="1431" w:right="1786" w:bottom="1421" w:left="1786" w:header="0" w:footer="1179" w:gutter="0"/>
      <w:cols w:equalWidth="0" w:num="1">
        <w:col w:w="8337"/>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Arial">
    <w:panose1 w:val="020B0604020202020204"/>
    <w:charset w:val="00"/>
    <w:family w:val="auto"/>
    <w:pitch w:val="default"/>
    <w:sig w:usb0="E0002EFF" w:usb1="C000785B" w:usb2="00000009" w:usb3="00000000" w:csb0="400001FF" w:csb1="FFFF0000"/>
  </w:font>
</w:fonts>
</file>

<file path=word/footer1.xml><?xml version="1.0" encoding="utf-8"?>
<w:ftr xmlns:w="http://schemas.openxmlformats.org/wordprocessingml/2006/main" xmlns:r="http://schemas.openxmlformats.org/officeDocument/2006/relationships">
  <w:p>
    <w:pPr>
      <w:spacing w:line="242" w:lineRule="exact"/>
      <w:ind w:right="14"/>
      <w:jc w:val="right"/>
    </w:pPr>
    <w:r>
      <w:rPr>
        <w:rFonts w:ascii="宋体" w:hAnsi="宋体" w:eastAsia="宋体" w:cs="宋体"/>
        <w:color w:val="5A5A5A"/>
        <w:sz w:val="17"/>
        <w:szCs w:val="17"/>
      </w:rPr>
      <w:t>1 / 7</w:t>
    </w:r>
  </w:p>
  <w:p>
    <w:pPr>
      <w:spacing w:before="40" w:line="200" w:lineRule="exact"/>
      <w:pBdr>
        <w:top w:val="single" w:sz="6" w:space="3" w:color="C8923C"/>
      </w:pBdr>
      <w:jc w:val="both"/>
    </w:pPr>
    <w:r>
      <w:rPr>
        <w:rFonts w:hint="eastAsia" w:ascii="Arial" w:hAnsi="Arial" w:eastAsia="宋体" w:cs="Arial"/>
        <w:color w:val="5A5A5A"/>
        <w:sz w:val="14"/>
        <w:szCs w:val="14"/>
      </w:rPr>
      <w:t xml:space="preserve">免责声明：本资料基于我们目前的知识与经验编制，仅供客户参考。产品的应用条件与方式非我们所能控制，曜尘新材料科技（上海）有限公司不对其在特定用途中的适用性作出担保，亦不承担因不当使用本产品而产生的一切责任。使用前请务必阅读产品安全技术说明书（MSDS）。</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0C136C">
    <w:pPr>
      <w:spacing w:line="242" w:lineRule="exact"/>
      <w:ind w:right="104"/>
      <w:jc w:val="right"/>
      <w:rPr>
        <w:rFonts w:ascii="Times New Roman" w:hAnsi="Times New Roman" w:eastAsia="Times New Roman" w:cs="Times New Roman"/>
        <w:sz w:val="17"/>
        <w:szCs w:val="17"/>
      </w:rPr>
    </w:pPr>
    <w:r>
      <w:rPr>
        <w:rFonts w:ascii="宋体" w:hAnsi="宋体" w:eastAsia="宋体" w:cs="宋体"/>
        <w:spacing w:val="-9"/>
        <w:position w:val="1"/>
        <w:sz w:val="17"/>
        <w:szCs w:val="17"/>
      </w:rPr>
      <w:t>2</w:t>
    </w:r>
    <w:r>
      <w:rPr>
        <w:rFonts w:ascii="宋体" w:hAnsi="宋体" w:eastAsia="宋体" w:cs="宋体"/>
        <w:spacing w:val="-6"/>
        <w:position w:val="1"/>
        <w:sz w:val="17"/>
        <w:szCs w:val="17"/>
      </w:rPr>
      <w:t xml:space="preserve"> </w:t>
    </w:r>
    <w:r>
      <w:rPr>
        <w:rFonts w:ascii="Times New Roman" w:hAnsi="Times New Roman" w:eastAsia="Times New Roman" w:cs="Times New Roman"/>
        <w:spacing w:val="-6"/>
        <w:position w:val="1"/>
        <w:sz w:val="17"/>
        <w:szCs w:val="17"/>
      </w:rPr>
      <w:t xml:space="preserve">/ </w:t>
    </w:r>
    <w:r>
      <w:rPr>
        <w:rFonts w:ascii="Times New Roman" w:hAnsi="Times New Roman" w:eastAsia="Times New Roman" w:cs="Times New Roman"/>
        <w:b/>
        <w:bCs/>
        <w:spacing w:val="-6"/>
        <w:position w:val="1"/>
        <w:sz w:val="17"/>
        <w:szCs w:val="17"/>
      </w:rPr>
      <w:t>7</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F56138">
    <w:pPr>
      <w:spacing w:line="14" w:lineRule="auto"/>
      <w:rPr>
        <w:rFonts w:ascii="Arial"/>
        <w:sz w:val="2"/>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CE05BA">
    <w:pPr>
      <w:spacing w:line="242" w:lineRule="exact"/>
      <w:ind w:right="25"/>
      <w:jc w:val="right"/>
      <w:rPr>
        <w:rFonts w:ascii="Times New Roman" w:hAnsi="Times New Roman" w:eastAsia="Times New Roman" w:cs="Times New Roman"/>
        <w:sz w:val="17"/>
        <w:szCs w:val="17"/>
      </w:rPr>
    </w:pPr>
    <w:r>
      <w:rPr>
        <w:rFonts w:ascii="宋体" w:hAnsi="宋体" w:eastAsia="宋体" w:cs="宋体"/>
        <w:spacing w:val="-10"/>
        <w:position w:val="1"/>
        <w:sz w:val="17"/>
        <w:szCs w:val="17"/>
      </w:rPr>
      <w:t>5</w:t>
    </w:r>
    <w:r>
      <w:rPr>
        <w:rFonts w:ascii="宋体" w:hAnsi="宋体" w:eastAsia="宋体" w:cs="宋体"/>
        <w:spacing w:val="-6"/>
        <w:position w:val="1"/>
        <w:sz w:val="17"/>
        <w:szCs w:val="17"/>
      </w:rPr>
      <w:t xml:space="preserve"> </w:t>
    </w:r>
    <w:r>
      <w:rPr>
        <w:rFonts w:ascii="Times New Roman" w:hAnsi="Times New Roman" w:eastAsia="Times New Roman" w:cs="Times New Roman"/>
        <w:spacing w:val="-6"/>
        <w:position w:val="1"/>
        <w:sz w:val="17"/>
        <w:szCs w:val="17"/>
      </w:rPr>
      <w:t xml:space="preserve">/ </w:t>
    </w:r>
    <w:r>
      <w:rPr>
        <w:rFonts w:ascii="Times New Roman" w:hAnsi="Times New Roman" w:eastAsia="Times New Roman" w:cs="Times New Roman"/>
        <w:b/>
        <w:bCs/>
        <w:spacing w:val="-6"/>
        <w:position w:val="1"/>
        <w:sz w:val="17"/>
        <w:szCs w:val="17"/>
      </w:rPr>
      <w:t>7</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8D630E">
    <w:pPr>
      <w:spacing w:line="14" w:lineRule="auto"/>
      <w:rPr>
        <w:rFonts w:ascii="Arial"/>
        <w:sz w:val="2"/>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4CBAE0">
    <w:pPr>
      <w:spacing w:line="242" w:lineRule="exact"/>
      <w:ind w:right="25"/>
      <w:jc w:val="right"/>
      <w:rPr>
        <w:rFonts w:ascii="Times New Roman" w:hAnsi="Times New Roman" w:eastAsia="Times New Roman" w:cs="Times New Roman"/>
        <w:sz w:val="17"/>
        <w:szCs w:val="17"/>
      </w:rPr>
    </w:pPr>
    <w:r>
      <w:rPr>
        <w:rFonts w:ascii="宋体" w:hAnsi="宋体" w:eastAsia="宋体" w:cs="宋体"/>
        <w:spacing w:val="-7"/>
        <w:position w:val="1"/>
        <w:sz w:val="17"/>
        <w:szCs w:val="17"/>
      </w:rPr>
      <w:t xml:space="preserve">7 </w:t>
    </w:r>
    <w:r>
      <w:rPr>
        <w:rFonts w:ascii="Times New Roman" w:hAnsi="Times New Roman" w:eastAsia="Times New Roman" w:cs="Times New Roman"/>
        <w:spacing w:val="-7"/>
        <w:position w:val="1"/>
        <w:sz w:val="17"/>
        <w:szCs w:val="17"/>
      </w:rPr>
      <w:t xml:space="preserve">/ </w:t>
    </w:r>
    <w:r>
      <w:rPr>
        <w:rFonts w:ascii="Times New Roman" w:hAnsi="Times New Roman" w:eastAsia="Times New Roman" w:cs="Times New Roman"/>
        <w:b/>
        <w:bCs/>
        <w:spacing w:val="-7"/>
        <w:position w:val="1"/>
        <w:sz w:val="17"/>
        <w:szCs w:val="17"/>
      </w:rPr>
      <w:t>7</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EDCC4C">
    <w:pPr>
      <w:spacing w:line="227" w:lineRule="auto"/>
      <w:ind w:left="4570"/>
      <w:rPr>
        <w:rFonts w:ascii="Times New Roman" w:hAnsi="Times New Roman" w:eastAsia="Times New Roman" w:cs="Times New Roman"/>
        <w:sz w:val="20"/>
        <w:szCs w:val="20"/>
      </w:rPr>
    </w:pPr>
    <w:r>
      <w:drawing>
        <wp:anchor distT="0" distB="0" distL="0" distR="0" simplePos="0" relativeHeight="251660288"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4" name="IM 4"/>
          <wp:cNvGraphicFramePr/>
          <a:graphic xmlns:a="http://schemas.openxmlformats.org/drawingml/2006/main">
            <a:graphicData uri="http://schemas.openxmlformats.org/drawingml/2006/picture">
              <pic:pic xmlns:pic="http://schemas.openxmlformats.org/drawingml/2006/picture">
                <pic:nvPicPr>
                  <pic:cNvPr id="4" name="IM 4"/>
                  <pic:cNvPicPr/>
                </pic:nvPicPr>
                <pic:blipFill>
                  <a:blip r:embed="rId1"/>
                  <a:stretch>
                    <a:fillRect/>
                  </a:stretch>
                </pic:blipFill>
                <pic:spPr>
                  <a:xfrm>
                    <a:off x="0" y="0"/>
                    <a:ext cx="5311140" cy="9144"/>
                  </a:xfrm>
                  <a:prstGeom prst="rect">
                    <a:avLst/>
                  </a:prstGeom>
                </pic:spPr>
              </pic:pic>
            </a:graphicData>
          </a:graphic>
        </wp:anchor>
      </w:drawing>
    </w:r>
    <w:r>
      <w:pict>
        <v:shape id="_x0000_s2049" o:spid="_x0000_s2049" o:spt="202" type="#_x0000_t202" style="position:absolute;left:0pt;margin-left:0.85pt;margin-top:-0.8pt;height:25.65pt;width:112.05pt;z-index:251659264;mso-width-relative:page;mso-height-relative:page;" filled="f" stroked="f" coordsize="21600,21600">
          <v:path/>
          <v:fill on="f" focussize="0,0"/>
          <v:stroke on="f"/>
          <v:imagedata o:title=""/>
          <o:lock v:ext="edit" aspectratio="f"/>
          <v:textbox inset="0mm,0mm,0mm,0mm">
            <w:txbxContent>
              <w:p w14:paraId="57F8FF7C">
                <w:pPr>
                  <w:spacing w:before="19" w:line="228" w:lineRule="auto"/>
                  <w:ind w:left="21"/>
                  <w:rPr>
                    <w:rFonts w:ascii="宋体" w:hAnsi="宋体" w:eastAsia="宋体" w:cs="宋体"/>
                    <w:sz w:val="20"/>
                    <w:szCs w:val="20"/>
                  </w:rPr>
                </w:pPr>
                <w:r>
                  <w:rPr>
                    <w:rFonts w:ascii="宋体" w:hAnsi="宋体" w:eastAsia="宋体" w:cs="宋体"/>
                    <w:spacing w:val="13"/>
                    <w:sz w:val="20"/>
                    <w:szCs w:val="20"/>
                    <w14:textOutline w14:w="3795" w14:cap="sq" w14:cmpd="sng">
                      <w14:solidFill>
                        <w14:srgbClr w14:val="000000"/>
                      </w14:solidFill>
                      <w14:prstDash w14:val="solid"/>
                      <w14:bevel/>
                    </w14:textOutline>
                  </w:rPr>
                  <w:t>产</w:t>
                </w:r>
                <w:r>
                  <w:rPr>
                    <w:rFonts w:ascii="宋体" w:hAnsi="宋体" w:eastAsia="宋体" w:cs="宋体"/>
                    <w:spacing w:val="9"/>
                    <w:sz w:val="20"/>
                    <w:szCs w:val="20"/>
                    <w14:textOutline w14:w="3795" w14:cap="sq" w14:cmpd="sng">
                      <w14:solidFill>
                        <w14:srgbClr w14:val="000000"/>
                      </w14:solidFill>
                      <w14:prstDash w14:val="solid"/>
                      <w14:bevel/>
                    </w14:textOutline>
                  </w:rPr>
                  <w:t>品名称：表处剂</w:t>
                </w:r>
              </w:p>
              <w:p w14:paraId="7A4ACC99">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202</w:t>
                </w:r>
                <w:r>
                  <w:rPr>
                    <w:rFonts w:hint="eastAsia" w:ascii="Times New Roman" w:hAnsi="Times New Roman" w:eastAsia="宋体" w:cs="Times New Roman"/>
                    <w:b/>
                    <w:bCs/>
                    <w:spacing w:val="2"/>
                    <w:sz w:val="17"/>
                    <w:szCs w:val="17"/>
                    <w:lang w:val="en-US" w:eastAsia="zh-CN"/>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0E89DB">
    <w:pPr>
      <w:spacing w:line="14" w:lineRule="auto"/>
      <w:rPr>
        <w:rFonts w:ascii="Arial"/>
        <w:sz w:val="2"/>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52CA10">
    <w:pPr>
      <w:spacing w:line="227" w:lineRule="auto"/>
      <w:ind w:left="4647"/>
      <w:rPr>
        <w:rFonts w:ascii="Times New Roman" w:hAnsi="Times New Roman" w:eastAsia="Times New Roman" w:cs="Times New Roman"/>
        <w:sz w:val="20"/>
        <w:szCs w:val="20"/>
      </w:rPr>
    </w:pPr>
    <w:r>
      <w:drawing>
        <wp:anchor distT="0" distB="0" distL="0" distR="0" simplePos="0" relativeHeight="251662336" behindDoc="0" locked="0" layoutInCell="0" allowOverlap="1">
          <wp:simplePos x="0" y="0"/>
          <wp:positionH relativeFrom="page">
            <wp:posOffset>1124585</wp:posOffset>
          </wp:positionH>
          <wp:positionV relativeFrom="page">
            <wp:posOffset>873760</wp:posOffset>
          </wp:positionV>
          <wp:extent cx="5311140" cy="8890"/>
          <wp:effectExtent l="0" t="0" r="0" b="0"/>
          <wp:wrapNone/>
          <wp:docPr id="11" name="IM 11"/>
          <wp:cNvGraphicFramePr/>
          <a:graphic xmlns:a="http://schemas.openxmlformats.org/drawingml/2006/main">
            <a:graphicData uri="http://schemas.openxmlformats.org/drawingml/2006/picture">
              <pic:pic xmlns:pic="http://schemas.openxmlformats.org/drawingml/2006/picture">
                <pic:nvPicPr>
                  <pic:cNvPr id="11" name="IM 11"/>
                  <pic:cNvPicPr/>
                </pic:nvPicPr>
                <pic:blipFill>
                  <a:blip r:embed="rId1"/>
                  <a:stretch>
                    <a:fillRect/>
                  </a:stretch>
                </pic:blipFill>
                <pic:spPr>
                  <a:xfrm>
                    <a:off x="0" y="0"/>
                    <a:ext cx="5311140" cy="9143"/>
                  </a:xfrm>
                  <a:prstGeom prst="rect">
                    <a:avLst/>
                  </a:prstGeom>
                </pic:spPr>
              </pic:pic>
            </a:graphicData>
          </a:graphic>
        </wp:anchor>
      </w:drawing>
    </w:r>
    <w:r>
      <w:pict>
        <v:shape id="_x0000_s2050" o:spid="_x0000_s2050" o:spt="202" type="#_x0000_t202" style="position:absolute;left:0pt;margin-left:4.7pt;margin-top:-0.8pt;height:25.65pt;width:112.05pt;z-index:251661312;mso-width-relative:page;mso-height-relative:page;" filled="f" stroked="f" coordsize="21600,21600">
          <v:path/>
          <v:fill on="f" focussize="0,0"/>
          <v:stroke on="f"/>
          <v:imagedata o:title=""/>
          <o:lock v:ext="edit" aspectratio="f"/>
          <v:textbox inset="0mm,0mm,0mm,0mm">
            <w:txbxContent>
              <w:p w14:paraId="22CB848C">
                <w:pPr>
                  <w:spacing w:before="19" w:line="228" w:lineRule="auto"/>
                  <w:ind w:left="21"/>
                  <w:rPr>
                    <w:rFonts w:ascii="宋体" w:hAnsi="宋体" w:eastAsia="宋体" w:cs="宋体"/>
                    <w:sz w:val="20"/>
                    <w:szCs w:val="20"/>
                  </w:rPr>
                </w:pPr>
                <w:r>
                  <w:rPr>
                    <w:rFonts w:ascii="宋体" w:hAnsi="宋体" w:eastAsia="宋体" w:cs="宋体"/>
                    <w:spacing w:val="13"/>
                    <w:sz w:val="20"/>
                    <w:szCs w:val="20"/>
                    <w14:textOutline w14:w="3795" w14:cap="sq" w14:cmpd="sng">
                      <w14:solidFill>
                        <w14:srgbClr w14:val="000000"/>
                      </w14:solidFill>
                      <w14:prstDash w14:val="solid"/>
                      <w14:bevel/>
                    </w14:textOutline>
                  </w:rPr>
                  <w:t>产</w:t>
                </w:r>
                <w:r>
                  <w:rPr>
                    <w:rFonts w:ascii="宋体" w:hAnsi="宋体" w:eastAsia="宋体" w:cs="宋体"/>
                    <w:spacing w:val="9"/>
                    <w:sz w:val="20"/>
                    <w:szCs w:val="20"/>
                    <w14:textOutline w14:w="3795" w14:cap="sq" w14:cmpd="sng">
                      <w14:solidFill>
                        <w14:srgbClr w14:val="000000"/>
                      </w14:solidFill>
                      <w14:prstDash w14:val="solid"/>
                      <w14:bevel/>
                    </w14:textOutline>
                  </w:rPr>
                  <w:t>品名称：表处剂</w:t>
                </w:r>
              </w:p>
              <w:p w14:paraId="233B4182">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202</w:t>
                </w:r>
                <w:r>
                  <w:rPr>
                    <w:rFonts w:hint="eastAsia" w:ascii="Times New Roman" w:hAnsi="Times New Roman" w:eastAsia="宋体" w:cs="Times New Roman"/>
                    <w:b/>
                    <w:bCs/>
                    <w:spacing w:val="2"/>
                    <w:sz w:val="17"/>
                    <w:szCs w:val="17"/>
                    <w:lang w:val="en-US" w:eastAsia="zh-CN"/>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E7AA5B">
    <w:pPr>
      <w:spacing w:line="227" w:lineRule="auto"/>
      <w:ind w:left="4570"/>
      <w:rPr>
        <w:rFonts w:ascii="Times New Roman" w:hAnsi="Times New Roman" w:eastAsia="Times New Roman" w:cs="Times New Roman"/>
        <w:sz w:val="20"/>
        <w:szCs w:val="20"/>
      </w:rPr>
    </w:pPr>
    <w:r>
      <w:drawing>
        <wp:anchor distT="0" distB="0" distL="0" distR="0" simplePos="0" relativeHeight="251664384"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2" name="IM 12"/>
          <wp:cNvGraphicFramePr/>
          <a:graphic xmlns:a="http://schemas.openxmlformats.org/drawingml/2006/main">
            <a:graphicData uri="http://schemas.openxmlformats.org/drawingml/2006/picture">
              <pic:pic xmlns:pic="http://schemas.openxmlformats.org/drawingml/2006/picture">
                <pic:nvPicPr>
                  <pic:cNvPr id="12" name="IM 12"/>
                  <pic:cNvPicPr/>
                </pic:nvPicPr>
                <pic:blipFill>
                  <a:blip r:embed="rId1"/>
                  <a:stretch>
                    <a:fillRect/>
                  </a:stretch>
                </pic:blipFill>
                <pic:spPr>
                  <a:xfrm>
                    <a:off x="0" y="0"/>
                    <a:ext cx="5311140" cy="9144"/>
                  </a:xfrm>
                  <a:prstGeom prst="rect">
                    <a:avLst/>
                  </a:prstGeom>
                </pic:spPr>
              </pic:pic>
            </a:graphicData>
          </a:graphic>
        </wp:anchor>
      </w:drawing>
    </w:r>
    <w:r>
      <w:pict>
        <v:shape id="_x0000_s2051" o:spid="_x0000_s2051" o:spt="202" type="#_x0000_t202" style="position:absolute;left:0pt;margin-left:0.85pt;margin-top:-0.8pt;height:25.65pt;width:112.05pt;z-index:251663360;mso-width-relative:page;mso-height-relative:page;" filled="f" stroked="f" coordsize="21600,21600">
          <v:path/>
          <v:fill on="f" focussize="0,0"/>
          <v:stroke on="f"/>
          <v:imagedata o:title=""/>
          <o:lock v:ext="edit" aspectratio="f"/>
          <v:textbox inset="0mm,0mm,0mm,0mm">
            <w:txbxContent>
              <w:p w14:paraId="3B22F501">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6734BF0A">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6B2561">
    <w:pPr>
      <w:spacing w:line="227" w:lineRule="auto"/>
      <w:ind w:left="4647"/>
      <w:rPr>
        <w:rFonts w:ascii="Times New Roman" w:hAnsi="Times New Roman" w:eastAsia="Times New Roman" w:cs="Times New Roman"/>
        <w:sz w:val="20"/>
        <w:szCs w:val="20"/>
      </w:rPr>
    </w:pPr>
    <w:r>
      <w:drawing>
        <wp:anchor distT="0" distB="0" distL="0" distR="0" simplePos="0" relativeHeight="251666432"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3" name="IM 13"/>
          <wp:cNvGraphicFramePr/>
          <a:graphic xmlns:a="http://schemas.openxmlformats.org/drawingml/2006/main">
            <a:graphicData uri="http://schemas.openxmlformats.org/drawingml/2006/picture">
              <pic:pic xmlns:pic="http://schemas.openxmlformats.org/drawingml/2006/picture">
                <pic:nvPicPr>
                  <pic:cNvPr id="13" name="IM 13"/>
                  <pic:cNvPicPr/>
                </pic:nvPicPr>
                <pic:blipFill>
                  <a:blip r:embed="rId1"/>
                  <a:stretch>
                    <a:fillRect/>
                  </a:stretch>
                </pic:blipFill>
                <pic:spPr>
                  <a:xfrm>
                    <a:off x="0" y="0"/>
                    <a:ext cx="5311140" cy="9144"/>
                  </a:xfrm>
                  <a:prstGeom prst="rect">
                    <a:avLst/>
                  </a:prstGeom>
                </pic:spPr>
              </pic:pic>
            </a:graphicData>
          </a:graphic>
        </wp:anchor>
      </w:drawing>
    </w:r>
    <w:r>
      <w:pict>
        <v:shape id="_x0000_s2052" o:spid="_x0000_s2052" o:spt="202" type="#_x0000_t202" style="position:absolute;left:0pt;margin-left:4.7pt;margin-top:-0.8pt;height:25.65pt;width:112.05pt;z-index:251665408;mso-width-relative:page;mso-height-relative:page;" filled="f" stroked="f" coordsize="21600,21600">
          <v:path/>
          <v:fill on="f" focussize="0,0"/>
          <v:stroke on="f"/>
          <v:imagedata o:title=""/>
          <o:lock v:ext="edit" aspectratio="f"/>
          <v:textbox inset="0mm,0mm,0mm,0mm">
            <w:txbxContent>
              <w:p w14:paraId="3B0924D5">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30C050BF">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72E8D1">
    <w:pPr>
      <w:spacing w:line="227" w:lineRule="auto"/>
      <w:ind w:left="4570"/>
      <w:rPr>
        <w:rFonts w:ascii="Times New Roman" w:hAnsi="Times New Roman" w:eastAsia="Times New Roman" w:cs="Times New Roman"/>
        <w:sz w:val="20"/>
        <w:szCs w:val="20"/>
      </w:rPr>
    </w:pPr>
    <w:r>
      <w:drawing>
        <wp:anchor distT="0" distB="0" distL="0" distR="0" simplePos="0" relativeHeight="251664384"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4" name="IM 12"/>
          <wp:cNvGraphicFramePr/>
          <a:graphic xmlns:a="http://schemas.openxmlformats.org/drawingml/2006/main">
            <a:graphicData uri="http://schemas.openxmlformats.org/drawingml/2006/picture">
              <pic:pic xmlns:pic="http://schemas.openxmlformats.org/drawingml/2006/picture">
                <pic:nvPicPr>
                  <pic:cNvPr id="14" name="IM 12"/>
                  <pic:cNvPicPr/>
                </pic:nvPicPr>
                <pic:blipFill>
                  <a:blip r:embed="rId1"/>
                  <a:stretch>
                    <a:fillRect/>
                  </a:stretch>
                </pic:blipFill>
                <pic:spPr>
                  <a:xfrm>
                    <a:off x="0" y="0"/>
                    <a:ext cx="5311140" cy="9144"/>
                  </a:xfrm>
                  <a:prstGeom prst="rect">
                    <a:avLst/>
                  </a:prstGeom>
                </pic:spPr>
              </pic:pic>
            </a:graphicData>
          </a:graphic>
        </wp:anchor>
      </w:drawing>
    </w:r>
    <w:r>
      <w:pict>
        <v:shape id="_x0000_s2053" o:spid="_x0000_s2053" o:spt="202" type="#_x0000_t202" style="position:absolute;left:0pt;margin-left:0.85pt;margin-top:-0.8pt;height:25.65pt;width:112.05pt;z-index:251663360;mso-width-relative:page;mso-height-relative:page;" filled="f" stroked="f" coordsize="21600,21600">
          <v:path/>
          <v:fill on="f" focussize="0,0"/>
          <v:stroke on="f"/>
          <v:imagedata o:title=""/>
          <o:lock v:ext="edit" aspectratio="f"/>
          <v:textbox inset="0mm,0mm,0mm,0mm">
            <w:txbxContent>
              <w:p w14:paraId="014CE53E">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7BFD5D7F">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isplayBackgroundShape w:val="1"/>
  <w:bordersDoNotSurroundHeader w:val="0"/>
  <w:bordersDoNotSurroundFooter w:val="0"/>
  <w:documentProtection w:enforcement="0"/>
  <w:displayHorizontalDrawingGridEvery w:val="1"/>
  <w:displayVerticalDrawingGridEvery w:val="1"/>
  <w:noPunctuationKerning w:val="1"/>
  <w:characterSpacingControl w:val="doNotCompress"/>
  <w:hdrShapeDefaults>
    <o:shapelayout v:ext="edit">
      <o:idmap v:ext="edit" data="2"/>
    </o:shapelayout>
  </w:hdrShapeDefaults>
  <w:footnotePr>
    <w:footnote w:id="0"/>
    <w:footnote w:id="1"/>
  </w:footnotePr>
  <w:endnotePr>
    <w:endnote w:id="0"/>
    <w:endnote w:id="1"/>
  </w:endnotePr>
  <w:compat>
    <w:spaceForUL/>
    <w:ulTrailSpace/>
    <w:doNotExpandShiftReturn/>
    <w:doNotWrapTextWithPunct/>
    <w:doNotUseEastAsianBreakRules/>
    <w:useFELayout/>
    <w:compatSetting w:name="compatibilityMode" w:uri="http://schemas.microsoft.com/office/word" w:val="14"/>
  </w:compat>
  <w:rsids>
    <w:rsidRoot w:val="00000000"/>
    <w:rsid w:val="194F6890"/>
    <w:rsid w:val="500C32F4"/>
    <w:rsid w:val="529A2D92"/>
    <w:rsid w:val="53E43FE0"/>
    <w:rsid w:val="588910D6"/>
    <w:rsid w:val="70CD3D9D"/>
    <w:rsid w:val="73D649D2"/>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customStyle="1" w:styleId="5">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header" Target="header2.xml"/><Relationship Id="rId7" Type="http://schemas.openxmlformats.org/officeDocument/2006/relationships/footer" Target="footer2.xml"/><Relationship Id="rId6" Type="http://schemas.openxmlformats.org/officeDocument/2006/relationships/header" Target="header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5" Type="http://schemas.openxmlformats.org/officeDocument/2006/relationships/fontTable" Target="fontTable.xml"/><Relationship Id="rId24" Type="http://schemas.openxmlformats.org/officeDocument/2006/relationships/customXml" Target="../customXml/item1.xml"/><Relationship Id="rId23" Type="http://schemas.openxmlformats.org/officeDocument/2006/relationships/image" Target="media/image2.png"/><Relationship Id="rId22" Type="http://schemas.openxmlformats.org/officeDocument/2006/relationships/image" Target="media/image7.png"/><Relationship Id="rId21" Type="http://schemas.openxmlformats.org/officeDocument/2006/relationships/image" Target="media/image6.jpeg"/><Relationship Id="rId20" Type="http://schemas.openxmlformats.org/officeDocument/2006/relationships/image" Target="media/image5.jpeg"/><Relationship Id="rId2" Type="http://schemas.openxmlformats.org/officeDocument/2006/relationships/settings" Target="settings.xml"/><Relationship Id="rId19" Type="http://schemas.openxmlformats.org/officeDocument/2006/relationships/image" Target="media/image4.jpeg"/><Relationship Id="rId18" Type="http://schemas.openxmlformats.org/officeDocument/2006/relationships/image" Target="media/image3.jpeg"/><Relationship Id="rId17" Type="http://schemas.openxmlformats.org/officeDocument/2006/relationships/theme" Target="theme/theme1.xml"/><Relationship Id="rId16" Type="http://schemas.openxmlformats.org/officeDocument/2006/relationships/footer" Target="footer6.xml"/><Relationship Id="rId15" Type="http://schemas.openxmlformats.org/officeDocument/2006/relationships/header" Target="header6.xml"/><Relationship Id="rId14" Type="http://schemas.openxmlformats.org/officeDocument/2006/relationships/footer" Target="footer5.xml"/><Relationship Id="rId13" Type="http://schemas.openxmlformats.org/officeDocument/2006/relationships/header" Target="header5.xml"/><Relationship Id="rId12" Type="http://schemas.openxmlformats.org/officeDocument/2006/relationships/footer" Target="footer4.xml"/><Relationship Id="rId11" Type="http://schemas.openxmlformats.org/officeDocument/2006/relationships/header" Target="header4.xml"/><Relationship Id="rId10" Type="http://schemas.openxmlformats.org/officeDocument/2006/relationships/header" Target="header3.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_rels/header5.xml.rels><?xml version="1.0" encoding="UTF-8" standalone="yes"?>
<Relationships xmlns="http://schemas.openxmlformats.org/package/2006/relationships"><Relationship Id="rId1" Type="http://schemas.openxmlformats.org/officeDocument/2006/relationships/image" Target="media/image1.png"/></Relationships>
</file>

<file path=word/_rels/header6.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ops>
  <customShpExts>
    <customShpInfo spid="_x0000_s2049"/>
    <customShpInfo spid="_x0000_s2050"/>
    <customShpInfo spid="_x0000_s2051"/>
    <customShpInfo spid="_x0000_s2052"/>
    <customShpInfo spid="_x0000_s2053"/>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7</Pages>
  <Words>2790</Words>
  <Characters>3246</Characters>
  <TotalTime>31</TotalTime>
  <ScaleCrop>false</ScaleCrop>
  <LinksUpToDate>false</LinksUpToDate>
  <CharactersWithSpaces>3518</CharactersWithSpaces>
  <Application>WPS Office_12.1.0.22529_F1E327BC-269C-435d-A152-05C5408002CA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2021-03-11T16:19:00Z</dcterms:created>
  <dc:creator>admin</dc:creator>
  <cp:lastModifiedBy>祁磊磊</cp:lastModifiedBy>
  <dcterms:modified xsi:type="dcterms:W3CDTF">2025-09-18T08:58:37Z</dcterms:modified>
  <dc:title>化学品安全技术说明书</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wqlLaW5nc29mdCBQREYgdG8gV1BTIDgw</vt:lpwstr>
  </property>
  <property fmtid="{D5CDD505-2E9C-101B-9397-08002B2CF9AE}" pid="3" name="Created">
    <vt:filetime>2023-06-26T17:44:32Z</vt:filetime>
  </property>
  <property fmtid="{D5CDD505-2E9C-101B-9397-08002B2CF9AE}" pid="4" name="KSOTemplateDocerSaveRecord">
    <vt:lpwstr>eyJoZGlkIjoiMzEwNTM5NzYwMDRjMzkwZTVkZjY2ODkwMGIxNGU0OTUiLCJ1c2VySWQiOiI0MjU5MzUifQ==</vt:lpwstr>
  </property>
  <property fmtid="{D5CDD505-2E9C-101B-9397-08002B2CF9AE}" pid="5" name="KSOProductBuildVer">
    <vt:lpwstr>2052-12.1.0.22529</vt:lpwstr>
  </property>
  <property fmtid="{D5CDD505-2E9C-101B-9397-08002B2CF9AE}" pid="6" name="ICV">
    <vt:lpwstr>883399792EF04B84A39731FF80490A4D_13</vt:lpwstr>
  </property>
</Properties>
</file>